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0EDE" w14:textId="2BABB2B6" w:rsidR="00ED5834" w:rsidRPr="004369DE" w:rsidRDefault="003B406A" w:rsidP="00AD07F9">
      <w:pPr>
        <w:rPr>
          <w:rFonts w:ascii="Arial" w:hAnsi="Arial" w:cs="Arial"/>
          <w:b/>
          <w:sz w:val="20"/>
          <w:szCs w:val="20"/>
        </w:rPr>
      </w:pPr>
      <w:r w:rsidRPr="004369DE">
        <w:rPr>
          <w:rFonts w:ascii="Arial" w:hAnsi="Arial" w:cs="Arial"/>
          <w:b/>
          <w:bCs/>
          <w:sz w:val="28"/>
          <w:szCs w:val="28"/>
        </w:rPr>
        <w:t>Tarifanpassung im Verkehrsverbund Ost-Region (VOR)</w:t>
      </w:r>
    </w:p>
    <w:p w14:paraId="1D847AC7" w14:textId="77777777" w:rsidR="00B04246" w:rsidRPr="004369DE" w:rsidRDefault="00B04246" w:rsidP="00AD07F9">
      <w:pPr>
        <w:rPr>
          <w:rFonts w:ascii="Arial" w:hAnsi="Arial" w:cs="Arial"/>
          <w:b/>
          <w:sz w:val="20"/>
          <w:szCs w:val="20"/>
        </w:rPr>
      </w:pPr>
    </w:p>
    <w:p w14:paraId="2FB09E80" w14:textId="4BF16F1F" w:rsidR="00F40991" w:rsidRPr="00F40991" w:rsidRDefault="00F40991" w:rsidP="00F40991">
      <w:pPr>
        <w:pStyle w:val="Listenabsatz"/>
        <w:numPr>
          <w:ilvl w:val="0"/>
          <w:numId w:val="28"/>
        </w:numPr>
        <w:rPr>
          <w:rFonts w:ascii="Arial" w:hAnsi="Arial" w:cs="Arial"/>
          <w:sz w:val="20"/>
          <w:szCs w:val="20"/>
          <w:lang w:val="de-AT" w:eastAsia="de-AT"/>
        </w:rPr>
      </w:pPr>
      <w:r w:rsidRPr="00F40991">
        <w:rPr>
          <w:rFonts w:ascii="Arial" w:hAnsi="Arial" w:cs="Arial"/>
          <w:sz w:val="20"/>
          <w:szCs w:val="20"/>
          <w:lang w:val="de-AT" w:eastAsia="de-AT"/>
        </w:rPr>
        <w:t xml:space="preserve">Preisanpassung in Niederösterreich und Burgenland: Ab 1. Juli 2025 werden </w:t>
      </w:r>
      <w:r w:rsidR="008354AF">
        <w:rPr>
          <w:rFonts w:ascii="Arial" w:hAnsi="Arial" w:cs="Arial"/>
          <w:sz w:val="20"/>
          <w:szCs w:val="20"/>
          <w:lang w:val="de-AT" w:eastAsia="de-AT"/>
        </w:rPr>
        <w:t xml:space="preserve">einige </w:t>
      </w:r>
      <w:r w:rsidRPr="00F40991">
        <w:rPr>
          <w:rFonts w:ascii="Arial" w:hAnsi="Arial" w:cs="Arial"/>
          <w:sz w:val="20"/>
          <w:szCs w:val="20"/>
          <w:lang w:val="de-AT" w:eastAsia="de-AT"/>
        </w:rPr>
        <w:t>Tickets im Tarifbereich „Region“ um durchschnittlich 3 % erhöht.</w:t>
      </w:r>
    </w:p>
    <w:p w14:paraId="25BD5C95" w14:textId="61E70222" w:rsidR="00F40991" w:rsidRPr="00F40991" w:rsidRDefault="00F40991" w:rsidP="00F40991">
      <w:pPr>
        <w:pStyle w:val="Listenabsatz"/>
        <w:numPr>
          <w:ilvl w:val="0"/>
          <w:numId w:val="28"/>
        </w:numPr>
        <w:rPr>
          <w:rFonts w:ascii="Arial" w:hAnsi="Arial" w:cs="Arial"/>
          <w:sz w:val="20"/>
          <w:szCs w:val="20"/>
          <w:lang w:val="de-AT" w:eastAsia="de-AT"/>
        </w:rPr>
      </w:pPr>
      <w:r w:rsidRPr="00F40991">
        <w:rPr>
          <w:rFonts w:ascii="Arial" w:hAnsi="Arial" w:cs="Arial"/>
          <w:sz w:val="20"/>
          <w:szCs w:val="20"/>
          <w:lang w:val="de-AT" w:eastAsia="de-AT"/>
        </w:rPr>
        <w:t>Keine Preiserhöhung in Wien:</w:t>
      </w:r>
      <w:r w:rsidR="00B67266">
        <w:rPr>
          <w:rFonts w:ascii="Arial" w:hAnsi="Arial" w:cs="Arial"/>
          <w:sz w:val="20"/>
          <w:szCs w:val="20"/>
          <w:lang w:val="de-AT" w:eastAsia="de-AT"/>
        </w:rPr>
        <w:t xml:space="preserve"> </w:t>
      </w:r>
      <w:r w:rsidRPr="00F40991">
        <w:rPr>
          <w:rFonts w:ascii="Arial" w:hAnsi="Arial" w:cs="Arial"/>
          <w:sz w:val="20"/>
          <w:szCs w:val="20"/>
          <w:lang w:val="de-AT" w:eastAsia="de-AT"/>
        </w:rPr>
        <w:t>Ticketpreise innerhalb der Kernzone Wien bleiben unverändert.</w:t>
      </w:r>
    </w:p>
    <w:p w14:paraId="6C958FED" w14:textId="3F14C66C" w:rsidR="00F40991" w:rsidRPr="00F40991" w:rsidRDefault="00F40991" w:rsidP="00F40991">
      <w:pPr>
        <w:pStyle w:val="Listenabsatz"/>
        <w:numPr>
          <w:ilvl w:val="0"/>
          <w:numId w:val="28"/>
        </w:numPr>
        <w:rPr>
          <w:rFonts w:ascii="Arial" w:hAnsi="Arial" w:cs="Arial"/>
          <w:sz w:val="20"/>
          <w:szCs w:val="20"/>
          <w:lang w:val="de-AT" w:eastAsia="de-AT"/>
        </w:rPr>
      </w:pPr>
      <w:r w:rsidRPr="00F40991">
        <w:rPr>
          <w:rFonts w:ascii="Arial" w:hAnsi="Arial" w:cs="Arial"/>
          <w:sz w:val="20"/>
          <w:szCs w:val="20"/>
          <w:lang w:val="de-AT" w:eastAsia="de-AT"/>
        </w:rPr>
        <w:t>VOR Jugendticket</w:t>
      </w:r>
      <w:r w:rsidRPr="00F40991">
        <w:rPr>
          <w:rFonts w:ascii="Arial" w:hAnsi="Arial" w:cs="Arial"/>
          <w:sz w:val="20"/>
          <w:szCs w:val="20"/>
        </w:rPr>
        <w:t>s</w:t>
      </w:r>
      <w:r w:rsidRPr="00F40991">
        <w:rPr>
          <w:rFonts w:ascii="Arial" w:hAnsi="Arial" w:cs="Arial"/>
          <w:sz w:val="20"/>
          <w:szCs w:val="20"/>
          <w:lang w:val="de-AT" w:eastAsia="de-AT"/>
        </w:rPr>
        <w:t>: Der Preis bleibt weiterhin stabil bei € 19,60.</w:t>
      </w:r>
      <w:r w:rsidR="00193474">
        <w:rPr>
          <w:rFonts w:ascii="Arial" w:hAnsi="Arial" w:cs="Arial"/>
          <w:sz w:val="20"/>
          <w:szCs w:val="20"/>
        </w:rPr>
        <w:t xml:space="preserve"> </w:t>
      </w:r>
      <w:r w:rsidRPr="00F40991">
        <w:rPr>
          <w:rFonts w:ascii="Arial" w:hAnsi="Arial" w:cs="Arial"/>
          <w:sz w:val="20"/>
          <w:szCs w:val="20"/>
          <w:lang w:val="de-AT" w:eastAsia="de-AT"/>
        </w:rPr>
        <w:t>Top-Jugendticket: Ab dem Schuljahr 2025/26 leichte Anpassung auf € 88,60.</w:t>
      </w:r>
    </w:p>
    <w:p w14:paraId="40BF6218" w14:textId="5DE1C036" w:rsidR="00F40991" w:rsidRPr="00F40991" w:rsidRDefault="00F40991" w:rsidP="00F40991">
      <w:pPr>
        <w:pStyle w:val="Listenabsatz"/>
        <w:numPr>
          <w:ilvl w:val="0"/>
          <w:numId w:val="28"/>
        </w:numPr>
        <w:rPr>
          <w:rFonts w:ascii="Arial" w:hAnsi="Arial" w:cs="Arial"/>
          <w:sz w:val="20"/>
          <w:szCs w:val="20"/>
          <w:lang w:val="de-AT" w:eastAsia="de-AT"/>
        </w:rPr>
      </w:pPr>
      <w:r w:rsidRPr="00F40991">
        <w:rPr>
          <w:rFonts w:ascii="Arial" w:hAnsi="Arial" w:cs="Arial"/>
          <w:sz w:val="20"/>
          <w:szCs w:val="20"/>
          <w:lang w:val="de-AT" w:eastAsia="de-AT"/>
        </w:rPr>
        <w:t>Freizeit-Tickets &amp; Freizeit-Tickets Plus</w:t>
      </w:r>
      <w:r w:rsidR="00E346F8">
        <w:rPr>
          <w:rFonts w:ascii="Arial" w:hAnsi="Arial" w:cs="Arial"/>
          <w:sz w:val="20"/>
          <w:szCs w:val="20"/>
          <w:lang w:val="de-AT" w:eastAsia="de-AT"/>
        </w:rPr>
        <w:t xml:space="preserve"> sowie </w:t>
      </w:r>
      <w:r w:rsidR="00E346F8" w:rsidRPr="001F3D84">
        <w:rPr>
          <w:rFonts w:ascii="Arial" w:hAnsi="Arial" w:cs="Arial"/>
          <w:sz w:val="20"/>
          <w:szCs w:val="20"/>
          <w:lang w:eastAsia="de-AT"/>
        </w:rPr>
        <w:t>Wochenendticket</w:t>
      </w:r>
      <w:r w:rsidR="00E346F8" w:rsidRPr="001F3D84">
        <w:rPr>
          <w:rFonts w:ascii="Arial" w:hAnsi="Arial" w:cs="Arial"/>
          <w:sz w:val="20"/>
          <w:szCs w:val="20"/>
          <w:lang w:eastAsia="de-AT"/>
        </w:rPr>
        <w:t xml:space="preserve">s </w:t>
      </w:r>
      <w:r w:rsidR="00E346F8" w:rsidRPr="001F3D84">
        <w:rPr>
          <w:rFonts w:ascii="Arial" w:hAnsi="Arial" w:cs="Arial"/>
          <w:sz w:val="20"/>
          <w:szCs w:val="20"/>
          <w:lang w:eastAsia="de-AT"/>
        </w:rPr>
        <w:t>und Wochenendticket</w:t>
      </w:r>
      <w:r w:rsidR="00E346F8" w:rsidRPr="001F3D84">
        <w:rPr>
          <w:rFonts w:ascii="Arial" w:hAnsi="Arial" w:cs="Arial"/>
          <w:sz w:val="20"/>
          <w:szCs w:val="20"/>
          <w:lang w:eastAsia="de-AT"/>
        </w:rPr>
        <w:t>s</w:t>
      </w:r>
      <w:r w:rsidR="00E346F8" w:rsidRPr="001F3D84">
        <w:rPr>
          <w:rFonts w:ascii="Arial" w:hAnsi="Arial" w:cs="Arial"/>
          <w:sz w:val="20"/>
          <w:szCs w:val="20"/>
          <w:lang w:eastAsia="de-AT"/>
        </w:rPr>
        <w:t xml:space="preserve"> Plus</w:t>
      </w:r>
      <w:r w:rsidRPr="001F3D84">
        <w:rPr>
          <w:rFonts w:ascii="Arial" w:hAnsi="Arial" w:cs="Arial"/>
          <w:sz w:val="20"/>
          <w:szCs w:val="20"/>
          <w:lang w:val="de-AT" w:eastAsia="de-AT"/>
        </w:rPr>
        <w:t>:</w:t>
      </w:r>
      <w:r w:rsidRPr="00F40991">
        <w:rPr>
          <w:rFonts w:ascii="Arial" w:hAnsi="Arial" w:cs="Arial"/>
          <w:sz w:val="20"/>
          <w:szCs w:val="20"/>
          <w:lang w:val="de-AT" w:eastAsia="de-AT"/>
        </w:rPr>
        <w:t xml:space="preserve"> Keine Preisänderung.</w:t>
      </w:r>
      <w:r>
        <w:rPr>
          <w:rFonts w:ascii="Arial" w:hAnsi="Arial" w:cs="Arial"/>
          <w:sz w:val="20"/>
          <w:szCs w:val="20"/>
          <w:lang w:val="de-AT" w:eastAsia="de-AT"/>
        </w:rPr>
        <w:br/>
      </w:r>
    </w:p>
    <w:p w14:paraId="01212E2B" w14:textId="7B2C696D" w:rsidR="00237857" w:rsidRPr="004369DE" w:rsidRDefault="005B23DF" w:rsidP="00AD07F9">
      <w:pPr>
        <w:rPr>
          <w:rFonts w:ascii="Arial" w:hAnsi="Arial" w:cs="Arial"/>
          <w:b/>
          <w:sz w:val="20"/>
          <w:szCs w:val="20"/>
        </w:rPr>
      </w:pPr>
      <w:r w:rsidRPr="004369DE">
        <w:rPr>
          <w:rFonts w:ascii="Arial" w:hAnsi="Arial" w:cs="Arial"/>
          <w:b/>
          <w:i/>
          <w:iCs/>
          <w:sz w:val="20"/>
          <w:szCs w:val="20"/>
        </w:rPr>
        <w:t xml:space="preserve">Wien/Niederösterreich/Burgenland, </w:t>
      </w:r>
      <w:r w:rsidR="00F00F5C">
        <w:rPr>
          <w:rFonts w:ascii="Arial" w:hAnsi="Arial" w:cs="Arial"/>
          <w:b/>
          <w:i/>
          <w:iCs/>
          <w:sz w:val="20"/>
          <w:szCs w:val="20"/>
        </w:rPr>
        <w:t>02</w:t>
      </w:r>
      <w:r w:rsidR="00115C8D" w:rsidRPr="004369DE">
        <w:rPr>
          <w:rFonts w:ascii="Arial" w:hAnsi="Arial" w:cs="Arial"/>
          <w:b/>
          <w:i/>
          <w:iCs/>
          <w:sz w:val="20"/>
          <w:szCs w:val="20"/>
        </w:rPr>
        <w:t xml:space="preserve">. </w:t>
      </w:r>
      <w:r w:rsidR="00F00F5C">
        <w:rPr>
          <w:rFonts w:ascii="Arial" w:hAnsi="Arial" w:cs="Arial"/>
          <w:b/>
          <w:i/>
          <w:iCs/>
          <w:sz w:val="20"/>
          <w:szCs w:val="20"/>
        </w:rPr>
        <w:t>Juni</w:t>
      </w:r>
      <w:r w:rsidRPr="004369DE">
        <w:rPr>
          <w:rFonts w:ascii="Arial" w:hAnsi="Arial" w:cs="Arial"/>
          <w:b/>
          <w:i/>
          <w:iCs/>
          <w:sz w:val="20"/>
          <w:szCs w:val="20"/>
        </w:rPr>
        <w:t xml:space="preserve"> 2025</w:t>
      </w:r>
      <w:r w:rsidRPr="004369DE">
        <w:rPr>
          <w:rFonts w:ascii="Arial" w:hAnsi="Arial" w:cs="Arial"/>
          <w:b/>
          <w:sz w:val="20"/>
          <w:szCs w:val="20"/>
        </w:rPr>
        <w:t xml:space="preserve"> – Der Verkehrsverbund Ost-Region (VOR) passt mit 1. Juli 2025 die Preise für verschiedene Ticketkategorien im Tarifbereich „Region“ </w:t>
      </w:r>
      <w:r w:rsidR="002D644B" w:rsidRPr="004369DE">
        <w:rPr>
          <w:rFonts w:ascii="Arial" w:hAnsi="Arial" w:cs="Arial"/>
          <w:b/>
          <w:sz w:val="20"/>
          <w:szCs w:val="20"/>
        </w:rPr>
        <w:t xml:space="preserve">– für Niederösterreich und das Burgenland – an. </w:t>
      </w:r>
      <w:r w:rsidRPr="004369DE">
        <w:rPr>
          <w:rFonts w:ascii="Arial" w:hAnsi="Arial" w:cs="Arial"/>
          <w:b/>
          <w:sz w:val="20"/>
          <w:szCs w:val="20"/>
        </w:rPr>
        <w:t xml:space="preserve"> </w:t>
      </w:r>
      <w:r w:rsidR="004B6BB0" w:rsidRPr="004369DE">
        <w:rPr>
          <w:rFonts w:ascii="Arial" w:hAnsi="Arial" w:cs="Arial"/>
          <w:b/>
          <w:bCs/>
          <w:sz w:val="20"/>
          <w:szCs w:val="20"/>
        </w:rPr>
        <w:t xml:space="preserve">Die Ticketpreise innerhalb der Kernzone Wien bleiben hingegen unverändert und werden nicht erhöht. </w:t>
      </w:r>
      <w:r w:rsidR="007E4E37" w:rsidRPr="007E4E37">
        <w:rPr>
          <w:rFonts w:ascii="Arial" w:hAnsi="Arial" w:cs="Arial"/>
          <w:b/>
          <w:bCs/>
          <w:sz w:val="20"/>
          <w:szCs w:val="20"/>
        </w:rPr>
        <w:t>Unverändert bleiben auch die Preise für das VOR Jugendticket (€ 19,60) sowie für die Freizeit-</w:t>
      </w:r>
      <w:r w:rsidR="003D5E02">
        <w:rPr>
          <w:rFonts w:ascii="Arial" w:hAnsi="Arial" w:cs="Arial"/>
          <w:b/>
          <w:bCs/>
          <w:sz w:val="20"/>
          <w:szCs w:val="20"/>
        </w:rPr>
        <w:t>Tickets</w:t>
      </w:r>
      <w:r w:rsidR="007E4E37" w:rsidRPr="007E4E37">
        <w:rPr>
          <w:rFonts w:ascii="Arial" w:hAnsi="Arial" w:cs="Arial"/>
          <w:b/>
          <w:bCs/>
          <w:sz w:val="20"/>
          <w:szCs w:val="20"/>
        </w:rPr>
        <w:t xml:space="preserve"> </w:t>
      </w:r>
      <w:r w:rsidR="00EE3BD1">
        <w:rPr>
          <w:rFonts w:ascii="Arial" w:hAnsi="Arial" w:cs="Arial"/>
          <w:b/>
          <w:bCs/>
          <w:sz w:val="20"/>
          <w:szCs w:val="20"/>
        </w:rPr>
        <w:t>sowie</w:t>
      </w:r>
      <w:r w:rsidR="007E4E37" w:rsidRPr="007E4E37">
        <w:rPr>
          <w:rFonts w:ascii="Arial" w:hAnsi="Arial" w:cs="Arial"/>
          <w:b/>
          <w:bCs/>
          <w:sz w:val="20"/>
          <w:szCs w:val="20"/>
        </w:rPr>
        <w:t xml:space="preserve"> Freizeit-Tickets Plus</w:t>
      </w:r>
      <w:r w:rsidR="00EE3BD1">
        <w:rPr>
          <w:rFonts w:ascii="Arial" w:hAnsi="Arial" w:cs="Arial"/>
          <w:b/>
          <w:bCs/>
          <w:sz w:val="20"/>
          <w:szCs w:val="20"/>
        </w:rPr>
        <w:t xml:space="preserve"> und für die </w:t>
      </w:r>
      <w:r w:rsidR="00EE3BD1" w:rsidRPr="00EE3BD1">
        <w:rPr>
          <w:rFonts w:ascii="Arial" w:hAnsi="Arial" w:cs="Arial"/>
          <w:b/>
          <w:bCs/>
          <w:sz w:val="20"/>
          <w:szCs w:val="20"/>
        </w:rPr>
        <w:t>Wochenendticket</w:t>
      </w:r>
      <w:r w:rsidR="00EE3BD1">
        <w:rPr>
          <w:rFonts w:ascii="Arial" w:hAnsi="Arial" w:cs="Arial"/>
          <w:b/>
          <w:bCs/>
          <w:sz w:val="20"/>
          <w:szCs w:val="20"/>
        </w:rPr>
        <w:t>s</w:t>
      </w:r>
      <w:r w:rsidR="00EE3BD1" w:rsidRPr="00EE3BD1">
        <w:rPr>
          <w:rFonts w:ascii="Arial" w:hAnsi="Arial" w:cs="Arial"/>
          <w:b/>
          <w:bCs/>
          <w:sz w:val="20"/>
          <w:szCs w:val="20"/>
        </w:rPr>
        <w:t xml:space="preserve"> und Wochenendticket</w:t>
      </w:r>
      <w:r w:rsidR="00EE3BD1">
        <w:rPr>
          <w:rFonts w:ascii="Arial" w:hAnsi="Arial" w:cs="Arial"/>
          <w:b/>
          <w:bCs/>
          <w:sz w:val="20"/>
          <w:szCs w:val="20"/>
        </w:rPr>
        <w:t>s</w:t>
      </w:r>
      <w:r w:rsidR="00EE3BD1" w:rsidRPr="00EE3BD1">
        <w:rPr>
          <w:rFonts w:ascii="Arial" w:hAnsi="Arial" w:cs="Arial"/>
          <w:b/>
          <w:bCs/>
          <w:sz w:val="20"/>
          <w:szCs w:val="20"/>
        </w:rPr>
        <w:t xml:space="preserve"> Plus</w:t>
      </w:r>
      <w:r w:rsidR="007E4E37" w:rsidRPr="007E4E37">
        <w:rPr>
          <w:rFonts w:ascii="Arial" w:hAnsi="Arial" w:cs="Arial"/>
          <w:b/>
          <w:bCs/>
          <w:sz w:val="20"/>
          <w:szCs w:val="20"/>
        </w:rPr>
        <w:t>. Das Top-Jugendticket wird mit Beginn des neuen Schuljahres auf € 88,60 angehoben.</w:t>
      </w:r>
      <w:r w:rsidR="007E4E37">
        <w:rPr>
          <w:rFonts w:ascii="Arial" w:hAnsi="Arial" w:cs="Arial"/>
          <w:b/>
          <w:bCs/>
          <w:sz w:val="20"/>
          <w:szCs w:val="20"/>
        </w:rPr>
        <w:br/>
      </w:r>
    </w:p>
    <w:p w14:paraId="38C3ABE8" w14:textId="77777777" w:rsidR="00C414BF" w:rsidRPr="004369DE" w:rsidRDefault="00C414BF" w:rsidP="00C414BF">
      <w:pPr>
        <w:rPr>
          <w:rFonts w:ascii="Arial" w:hAnsi="Arial" w:cs="Arial"/>
          <w:sz w:val="20"/>
          <w:szCs w:val="20"/>
        </w:rPr>
      </w:pPr>
      <w:r w:rsidRPr="004369DE">
        <w:rPr>
          <w:rFonts w:ascii="Arial" w:hAnsi="Arial" w:cs="Arial"/>
          <w:bCs/>
          <w:sz w:val="20"/>
          <w:szCs w:val="20"/>
        </w:rPr>
        <w:t xml:space="preserve">Im Detail werden Einzel- und Tagesticket, Wochen- und Monatskarten sowie 7- und 31-Tage-Tickets im Regionaltarif für Niederösterreich und das Burgenland um durchschnittlich 3% erhöht. Auch der Preis des Top-Jugendtickets wird mit 3% moderat angepasst. </w:t>
      </w:r>
      <w:r w:rsidRPr="004369DE">
        <w:rPr>
          <w:rFonts w:ascii="Arial" w:hAnsi="Arial" w:cs="Arial"/>
          <w:sz w:val="20"/>
          <w:szCs w:val="20"/>
        </w:rPr>
        <w:t>Grundlage dieser Anpassung ist eine jährliche Evaluierung der Ticketpreise durch den VOR gemeinsam mit seinen Partnern unter Berücksichtigung der allgemeinen Kostenentwicklung sowie des Verbraucherpreisindex der Statistik Austria.</w:t>
      </w:r>
    </w:p>
    <w:p w14:paraId="3EB0160D" w14:textId="77777777" w:rsidR="00974BF7" w:rsidRPr="004369DE" w:rsidRDefault="00974BF7" w:rsidP="00303208">
      <w:pPr>
        <w:rPr>
          <w:rFonts w:ascii="Arial" w:hAnsi="Arial" w:cs="Arial"/>
          <w:sz w:val="20"/>
          <w:szCs w:val="20"/>
        </w:rPr>
      </w:pPr>
    </w:p>
    <w:p w14:paraId="2A36964A" w14:textId="721D666A" w:rsidR="00974BF7" w:rsidRPr="004369DE" w:rsidRDefault="00974BF7" w:rsidP="00974BF7">
      <w:pPr>
        <w:rPr>
          <w:rFonts w:ascii="Arial" w:hAnsi="Arial" w:cs="Arial"/>
          <w:b/>
          <w:bCs/>
          <w:sz w:val="20"/>
          <w:szCs w:val="20"/>
          <w:lang w:val="de-AT"/>
        </w:rPr>
      </w:pPr>
      <w:r w:rsidRPr="004369DE">
        <w:rPr>
          <w:rFonts w:ascii="Arial" w:hAnsi="Arial" w:cs="Arial"/>
          <w:b/>
          <w:bCs/>
          <w:sz w:val="20"/>
          <w:szCs w:val="20"/>
          <w:lang w:val="de-AT"/>
        </w:rPr>
        <w:t xml:space="preserve">Neue Preise ab 1. </w:t>
      </w:r>
      <w:r w:rsidR="00F93FE2" w:rsidRPr="004369DE">
        <w:rPr>
          <w:rFonts w:ascii="Arial" w:hAnsi="Arial" w:cs="Arial"/>
          <w:b/>
          <w:bCs/>
          <w:sz w:val="20"/>
          <w:szCs w:val="20"/>
          <w:lang w:val="de-AT"/>
        </w:rPr>
        <w:t>Juli</w:t>
      </w:r>
      <w:r w:rsidRPr="004369DE">
        <w:rPr>
          <w:rFonts w:ascii="Arial" w:hAnsi="Arial" w:cs="Arial"/>
          <w:b/>
          <w:bCs/>
          <w:sz w:val="20"/>
          <w:szCs w:val="20"/>
          <w:lang w:val="de-AT"/>
        </w:rPr>
        <w:t xml:space="preserve"> 2025 – im Überblick:</w:t>
      </w:r>
      <w:r w:rsidR="00266574" w:rsidRPr="004369DE">
        <w:rPr>
          <w:rFonts w:ascii="Arial" w:hAnsi="Arial" w:cs="Arial"/>
          <w:b/>
          <w:bCs/>
          <w:sz w:val="20"/>
          <w:szCs w:val="20"/>
          <w:lang w:val="de-AT"/>
        </w:rPr>
        <w:br/>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2977"/>
        <w:gridCol w:w="2552"/>
      </w:tblGrid>
      <w:tr w:rsidR="00601849" w:rsidRPr="004369DE" w14:paraId="03A77FFE" w14:textId="77777777" w:rsidTr="001B5F0B">
        <w:trPr>
          <w:tblHeader/>
          <w:tblCellSpacing w:w="15" w:type="dxa"/>
        </w:trPr>
        <w:tc>
          <w:tcPr>
            <w:tcW w:w="3352" w:type="dxa"/>
            <w:shd w:val="clear" w:color="auto" w:fill="auto"/>
            <w:vAlign w:val="center"/>
            <w:hideMark/>
          </w:tcPr>
          <w:p w14:paraId="792F29BF" w14:textId="77777777" w:rsidR="00601849" w:rsidRPr="004369DE" w:rsidRDefault="00601849" w:rsidP="001B5F0B">
            <w:pPr>
              <w:rPr>
                <w:rFonts w:ascii="Arial" w:hAnsi="Arial" w:cs="Arial"/>
                <w:b/>
                <w:bCs/>
                <w:sz w:val="18"/>
                <w:szCs w:val="18"/>
                <w:lang w:val="de-AT"/>
              </w:rPr>
            </w:pPr>
            <w:r w:rsidRPr="004369DE">
              <w:rPr>
                <w:rFonts w:ascii="Arial" w:hAnsi="Arial" w:cs="Arial"/>
                <w:b/>
                <w:bCs/>
                <w:sz w:val="18"/>
                <w:szCs w:val="18"/>
                <w:lang w:val="de-AT"/>
              </w:rPr>
              <w:t>Kategorie</w:t>
            </w:r>
          </w:p>
        </w:tc>
        <w:tc>
          <w:tcPr>
            <w:tcW w:w="2947" w:type="dxa"/>
            <w:shd w:val="clear" w:color="auto" w:fill="auto"/>
            <w:vAlign w:val="center"/>
            <w:hideMark/>
          </w:tcPr>
          <w:p w14:paraId="216180B2" w14:textId="79BAFE6F" w:rsidR="00601849" w:rsidRPr="004369DE" w:rsidRDefault="00601849" w:rsidP="001B5F0B">
            <w:pPr>
              <w:rPr>
                <w:rFonts w:ascii="Arial" w:hAnsi="Arial" w:cs="Arial"/>
                <w:b/>
                <w:bCs/>
                <w:sz w:val="18"/>
                <w:szCs w:val="18"/>
                <w:lang w:val="de-AT"/>
              </w:rPr>
            </w:pPr>
            <w:r w:rsidRPr="004369DE">
              <w:rPr>
                <w:rFonts w:ascii="Arial" w:hAnsi="Arial" w:cs="Arial"/>
                <w:b/>
                <w:bCs/>
                <w:sz w:val="18"/>
                <w:szCs w:val="18"/>
                <w:lang w:val="de-AT"/>
              </w:rPr>
              <w:t>Niederösterreich, Burgenland</w:t>
            </w:r>
            <w:r w:rsidR="00B86BEF" w:rsidRPr="004369DE">
              <w:rPr>
                <w:rFonts w:ascii="Arial" w:hAnsi="Arial" w:cs="Arial"/>
                <w:b/>
                <w:bCs/>
                <w:sz w:val="18"/>
                <w:szCs w:val="18"/>
                <w:lang w:val="de-AT"/>
              </w:rPr>
              <w:t xml:space="preserve"> (</w:t>
            </w:r>
            <w:r w:rsidR="0048768E" w:rsidRPr="004369DE">
              <w:rPr>
                <w:rFonts w:ascii="Arial" w:hAnsi="Arial" w:cs="Arial"/>
                <w:b/>
                <w:bCs/>
                <w:sz w:val="18"/>
                <w:szCs w:val="18"/>
                <w:lang w:val="de-AT"/>
              </w:rPr>
              <w:t>günstig</w:t>
            </w:r>
            <w:r w:rsidR="005615BA" w:rsidRPr="004369DE">
              <w:rPr>
                <w:rFonts w:ascii="Arial" w:hAnsi="Arial" w:cs="Arial"/>
                <w:b/>
                <w:bCs/>
                <w:sz w:val="18"/>
                <w:szCs w:val="18"/>
                <w:lang w:val="de-AT"/>
              </w:rPr>
              <w:t>ste</w:t>
            </w:r>
            <w:r w:rsidR="00B86BEF" w:rsidRPr="004369DE">
              <w:rPr>
                <w:rFonts w:ascii="Arial" w:hAnsi="Arial" w:cs="Arial"/>
                <w:b/>
                <w:bCs/>
                <w:sz w:val="18"/>
                <w:szCs w:val="18"/>
                <w:lang w:val="de-AT"/>
              </w:rPr>
              <w:t xml:space="preserve"> </w:t>
            </w:r>
            <w:r w:rsidR="005615BA" w:rsidRPr="004369DE">
              <w:rPr>
                <w:rFonts w:ascii="Arial" w:hAnsi="Arial" w:cs="Arial"/>
                <w:b/>
                <w:bCs/>
                <w:sz w:val="18"/>
                <w:szCs w:val="18"/>
                <w:lang w:val="de-AT"/>
              </w:rPr>
              <w:t>Tarif</w:t>
            </w:r>
            <w:r w:rsidR="00B86BEF" w:rsidRPr="004369DE">
              <w:rPr>
                <w:rFonts w:ascii="Arial" w:hAnsi="Arial" w:cs="Arial"/>
                <w:b/>
                <w:bCs/>
                <w:sz w:val="18"/>
                <w:szCs w:val="18"/>
                <w:lang w:val="de-AT"/>
              </w:rPr>
              <w:t>stufe)</w:t>
            </w:r>
          </w:p>
        </w:tc>
        <w:tc>
          <w:tcPr>
            <w:tcW w:w="2507" w:type="dxa"/>
            <w:shd w:val="clear" w:color="auto" w:fill="auto"/>
            <w:vAlign w:val="center"/>
            <w:hideMark/>
          </w:tcPr>
          <w:p w14:paraId="3492ED54" w14:textId="4FF24C8B" w:rsidR="00601849" w:rsidRPr="004369DE" w:rsidRDefault="00601849" w:rsidP="001B5F0B">
            <w:pPr>
              <w:rPr>
                <w:rFonts w:ascii="Arial" w:hAnsi="Arial" w:cs="Arial"/>
                <w:b/>
                <w:bCs/>
                <w:sz w:val="18"/>
                <w:szCs w:val="18"/>
                <w:lang w:val="de-AT"/>
              </w:rPr>
            </w:pPr>
            <w:r w:rsidRPr="004369DE">
              <w:rPr>
                <w:rFonts w:ascii="Arial" w:hAnsi="Arial" w:cs="Arial"/>
                <w:b/>
                <w:bCs/>
                <w:sz w:val="18"/>
                <w:szCs w:val="18"/>
                <w:lang w:val="de-AT"/>
              </w:rPr>
              <w:t>Wien</w:t>
            </w:r>
          </w:p>
        </w:tc>
      </w:tr>
      <w:tr w:rsidR="00601849" w:rsidRPr="004369DE" w14:paraId="28B5E5DE" w14:textId="77777777" w:rsidTr="001B5F0B">
        <w:trPr>
          <w:tblCellSpacing w:w="15" w:type="dxa"/>
        </w:trPr>
        <w:tc>
          <w:tcPr>
            <w:tcW w:w="3352" w:type="dxa"/>
            <w:shd w:val="clear" w:color="auto" w:fill="auto"/>
            <w:vAlign w:val="center"/>
            <w:hideMark/>
          </w:tcPr>
          <w:p w14:paraId="4BE5E9E5" w14:textId="13537CB0"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Einzelkarte</w:t>
            </w:r>
            <w:r w:rsidR="00A07657" w:rsidRPr="004369DE">
              <w:rPr>
                <w:rFonts w:ascii="Arial" w:hAnsi="Arial" w:cs="Arial"/>
                <w:sz w:val="18"/>
                <w:szCs w:val="18"/>
                <w:lang w:val="de-AT"/>
              </w:rPr>
              <w:t xml:space="preserve"> - </w:t>
            </w:r>
            <w:r w:rsidRPr="004369DE">
              <w:rPr>
                <w:rFonts w:ascii="Arial" w:hAnsi="Arial" w:cs="Arial"/>
                <w:sz w:val="18"/>
                <w:szCs w:val="18"/>
                <w:lang w:val="de-AT"/>
              </w:rPr>
              <w:t>Vollpreis</w:t>
            </w:r>
          </w:p>
        </w:tc>
        <w:tc>
          <w:tcPr>
            <w:tcW w:w="2947" w:type="dxa"/>
            <w:shd w:val="clear" w:color="auto" w:fill="auto"/>
            <w:vAlign w:val="center"/>
            <w:hideMark/>
          </w:tcPr>
          <w:p w14:paraId="4E4ADFFD" w14:textId="7266F2A3"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 xml:space="preserve">€ </w:t>
            </w:r>
            <w:r w:rsidR="004542AD" w:rsidRPr="004369DE">
              <w:rPr>
                <w:rFonts w:ascii="Arial" w:hAnsi="Arial" w:cs="Arial"/>
                <w:sz w:val="18"/>
                <w:szCs w:val="18"/>
                <w:lang w:val="de-AT"/>
              </w:rPr>
              <w:t>2,</w:t>
            </w:r>
            <w:r w:rsidR="00075DAF" w:rsidRPr="004369DE">
              <w:rPr>
                <w:rFonts w:ascii="Arial" w:hAnsi="Arial" w:cs="Arial"/>
                <w:sz w:val="18"/>
                <w:szCs w:val="18"/>
                <w:lang w:val="de-AT"/>
              </w:rPr>
              <w:t>20</w:t>
            </w:r>
            <w:r w:rsidR="004542AD" w:rsidRPr="004369DE">
              <w:rPr>
                <w:rFonts w:ascii="Arial" w:hAnsi="Arial" w:cs="Arial"/>
                <w:sz w:val="18"/>
                <w:szCs w:val="18"/>
                <w:lang w:val="de-AT"/>
              </w:rPr>
              <w:t xml:space="preserve"> </w:t>
            </w:r>
            <w:r w:rsidRPr="004369DE">
              <w:rPr>
                <w:rFonts w:ascii="Arial" w:hAnsi="Arial" w:cs="Arial"/>
                <w:sz w:val="18"/>
                <w:szCs w:val="18"/>
                <w:lang w:val="de-AT"/>
              </w:rPr>
              <w:t>(2024: €</w:t>
            </w:r>
            <w:r w:rsidR="00651CF1" w:rsidRPr="004369DE">
              <w:rPr>
                <w:rFonts w:ascii="Arial" w:hAnsi="Arial" w:cs="Arial"/>
                <w:sz w:val="18"/>
                <w:szCs w:val="18"/>
                <w:lang w:val="de-AT"/>
              </w:rPr>
              <w:t xml:space="preserve"> 2,</w:t>
            </w:r>
            <w:r w:rsidR="00A66EBD" w:rsidRPr="004369DE">
              <w:rPr>
                <w:rFonts w:ascii="Arial" w:hAnsi="Arial" w:cs="Arial"/>
                <w:sz w:val="18"/>
                <w:szCs w:val="18"/>
                <w:lang w:val="de-AT"/>
              </w:rPr>
              <w:t>1</w:t>
            </w:r>
            <w:r w:rsidR="00651CF1" w:rsidRPr="004369DE">
              <w:rPr>
                <w:rFonts w:ascii="Arial" w:hAnsi="Arial" w:cs="Arial"/>
                <w:sz w:val="18"/>
                <w:szCs w:val="18"/>
                <w:lang w:val="de-AT"/>
              </w:rPr>
              <w:t>0</w:t>
            </w:r>
            <w:r w:rsidRPr="004369DE">
              <w:rPr>
                <w:rFonts w:ascii="Arial" w:hAnsi="Arial" w:cs="Arial"/>
                <w:sz w:val="18"/>
                <w:szCs w:val="18"/>
                <w:lang w:val="de-AT"/>
              </w:rPr>
              <w:t>)</w:t>
            </w:r>
          </w:p>
        </w:tc>
        <w:tc>
          <w:tcPr>
            <w:tcW w:w="2507" w:type="dxa"/>
            <w:shd w:val="clear" w:color="auto" w:fill="auto"/>
            <w:vAlign w:val="center"/>
            <w:hideMark/>
          </w:tcPr>
          <w:p w14:paraId="297FD909" w14:textId="66053292"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 xml:space="preserve">€ </w:t>
            </w:r>
            <w:r w:rsidR="004542AD" w:rsidRPr="004369DE">
              <w:rPr>
                <w:rFonts w:ascii="Arial" w:hAnsi="Arial" w:cs="Arial"/>
                <w:sz w:val="18"/>
                <w:szCs w:val="18"/>
                <w:lang w:val="de-AT"/>
              </w:rPr>
              <w:t xml:space="preserve">2,40 </w:t>
            </w:r>
            <w:r w:rsidRPr="004369DE">
              <w:rPr>
                <w:rFonts w:ascii="Arial" w:hAnsi="Arial" w:cs="Arial"/>
                <w:sz w:val="18"/>
                <w:szCs w:val="18"/>
                <w:lang w:val="de-AT"/>
              </w:rPr>
              <w:t xml:space="preserve">(2024: € </w:t>
            </w:r>
            <w:r w:rsidR="00B46501" w:rsidRPr="004369DE">
              <w:rPr>
                <w:rFonts w:ascii="Arial" w:hAnsi="Arial" w:cs="Arial"/>
                <w:sz w:val="18"/>
                <w:szCs w:val="18"/>
                <w:lang w:val="de-AT"/>
              </w:rPr>
              <w:t>2,40</w:t>
            </w:r>
            <w:r w:rsidRPr="004369DE">
              <w:rPr>
                <w:rFonts w:ascii="Arial" w:hAnsi="Arial" w:cs="Arial"/>
                <w:sz w:val="18"/>
                <w:szCs w:val="18"/>
                <w:lang w:val="de-AT"/>
              </w:rPr>
              <w:t>)</w:t>
            </w:r>
          </w:p>
        </w:tc>
      </w:tr>
      <w:tr w:rsidR="00601849" w:rsidRPr="004369DE" w14:paraId="7693BA00" w14:textId="77777777" w:rsidTr="001B5F0B">
        <w:trPr>
          <w:tblCellSpacing w:w="15" w:type="dxa"/>
        </w:trPr>
        <w:tc>
          <w:tcPr>
            <w:tcW w:w="3352" w:type="dxa"/>
            <w:shd w:val="clear" w:color="auto" w:fill="auto"/>
            <w:vAlign w:val="center"/>
            <w:hideMark/>
          </w:tcPr>
          <w:p w14:paraId="654046F2" w14:textId="22327081" w:rsidR="00601849" w:rsidRPr="004369DE" w:rsidRDefault="009D21BF" w:rsidP="001B5F0B">
            <w:pPr>
              <w:rPr>
                <w:rFonts w:ascii="Arial" w:hAnsi="Arial" w:cs="Arial"/>
                <w:sz w:val="18"/>
                <w:szCs w:val="18"/>
                <w:lang w:val="de-AT"/>
              </w:rPr>
            </w:pPr>
            <w:r w:rsidRPr="004369DE">
              <w:rPr>
                <w:rFonts w:ascii="Arial" w:hAnsi="Arial" w:cs="Arial"/>
                <w:sz w:val="18"/>
                <w:szCs w:val="18"/>
                <w:lang w:val="de-AT"/>
              </w:rPr>
              <w:t>Tageskarte</w:t>
            </w:r>
            <w:r w:rsidR="00150439" w:rsidRPr="004369DE">
              <w:rPr>
                <w:rFonts w:ascii="Arial" w:hAnsi="Arial" w:cs="Arial"/>
                <w:sz w:val="18"/>
                <w:szCs w:val="18"/>
                <w:lang w:val="de-AT"/>
              </w:rPr>
              <w:t>/24h Wien</w:t>
            </w:r>
            <w:r w:rsidRPr="004369DE">
              <w:rPr>
                <w:rFonts w:ascii="Arial" w:hAnsi="Arial" w:cs="Arial"/>
                <w:sz w:val="18"/>
                <w:szCs w:val="18"/>
                <w:lang w:val="de-AT"/>
              </w:rPr>
              <w:t xml:space="preserve"> - Vollpreis</w:t>
            </w:r>
          </w:p>
        </w:tc>
        <w:tc>
          <w:tcPr>
            <w:tcW w:w="2947" w:type="dxa"/>
            <w:shd w:val="clear" w:color="auto" w:fill="auto"/>
            <w:vAlign w:val="center"/>
            <w:hideMark/>
          </w:tcPr>
          <w:p w14:paraId="6DEE8ED3" w14:textId="6900C566"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 xml:space="preserve">€ </w:t>
            </w:r>
            <w:r w:rsidR="00D26FD6" w:rsidRPr="004369DE">
              <w:rPr>
                <w:rFonts w:ascii="Arial" w:hAnsi="Arial" w:cs="Arial"/>
                <w:sz w:val="18"/>
                <w:szCs w:val="18"/>
                <w:lang w:val="de-AT"/>
              </w:rPr>
              <w:t>4,</w:t>
            </w:r>
            <w:r w:rsidR="00285606" w:rsidRPr="004369DE">
              <w:rPr>
                <w:rFonts w:ascii="Arial" w:hAnsi="Arial" w:cs="Arial"/>
                <w:sz w:val="18"/>
                <w:szCs w:val="18"/>
                <w:lang w:val="de-AT"/>
              </w:rPr>
              <w:t>3</w:t>
            </w:r>
            <w:r w:rsidR="00D26FD6" w:rsidRPr="004369DE">
              <w:rPr>
                <w:rFonts w:ascii="Arial" w:hAnsi="Arial" w:cs="Arial"/>
                <w:sz w:val="18"/>
                <w:szCs w:val="18"/>
                <w:lang w:val="de-AT"/>
              </w:rPr>
              <w:t xml:space="preserve">0 </w:t>
            </w:r>
            <w:r w:rsidRPr="004369DE">
              <w:rPr>
                <w:rFonts w:ascii="Arial" w:hAnsi="Arial" w:cs="Arial"/>
                <w:sz w:val="18"/>
                <w:szCs w:val="18"/>
                <w:lang w:val="de-AT"/>
              </w:rPr>
              <w:t xml:space="preserve">(2024: € </w:t>
            </w:r>
            <w:r w:rsidR="0025193C" w:rsidRPr="004369DE">
              <w:rPr>
                <w:rFonts w:ascii="Arial" w:hAnsi="Arial" w:cs="Arial"/>
                <w:sz w:val="18"/>
                <w:szCs w:val="18"/>
                <w:lang w:val="de-AT"/>
              </w:rPr>
              <w:t>4</w:t>
            </w:r>
            <w:r w:rsidR="00AB7A48" w:rsidRPr="004369DE">
              <w:rPr>
                <w:rFonts w:ascii="Arial" w:hAnsi="Arial" w:cs="Arial"/>
                <w:sz w:val="18"/>
                <w:szCs w:val="18"/>
                <w:lang w:val="de-AT"/>
              </w:rPr>
              <w:t>,</w:t>
            </w:r>
            <w:r w:rsidR="0025193C" w:rsidRPr="004369DE">
              <w:rPr>
                <w:rFonts w:ascii="Arial" w:hAnsi="Arial" w:cs="Arial"/>
                <w:sz w:val="18"/>
                <w:szCs w:val="18"/>
                <w:lang w:val="de-AT"/>
              </w:rPr>
              <w:t>1</w:t>
            </w:r>
            <w:r w:rsidR="00AB7A48" w:rsidRPr="004369DE">
              <w:rPr>
                <w:rFonts w:ascii="Arial" w:hAnsi="Arial" w:cs="Arial"/>
                <w:sz w:val="18"/>
                <w:szCs w:val="18"/>
                <w:lang w:val="de-AT"/>
              </w:rPr>
              <w:t>0</w:t>
            </w:r>
            <w:r w:rsidRPr="004369DE">
              <w:rPr>
                <w:rFonts w:ascii="Arial" w:hAnsi="Arial" w:cs="Arial"/>
                <w:sz w:val="18"/>
                <w:szCs w:val="18"/>
                <w:lang w:val="de-AT"/>
              </w:rPr>
              <w:t>)</w:t>
            </w:r>
          </w:p>
        </w:tc>
        <w:tc>
          <w:tcPr>
            <w:tcW w:w="2507" w:type="dxa"/>
            <w:shd w:val="clear" w:color="auto" w:fill="auto"/>
            <w:vAlign w:val="center"/>
            <w:hideMark/>
          </w:tcPr>
          <w:p w14:paraId="73EA177B" w14:textId="026B1821"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 xml:space="preserve">€ </w:t>
            </w:r>
            <w:r w:rsidR="00776884" w:rsidRPr="004369DE">
              <w:rPr>
                <w:rFonts w:ascii="Arial" w:hAnsi="Arial" w:cs="Arial"/>
                <w:sz w:val="18"/>
                <w:szCs w:val="18"/>
                <w:lang w:val="de-AT"/>
              </w:rPr>
              <w:t xml:space="preserve">8,00 </w:t>
            </w:r>
            <w:r w:rsidRPr="004369DE">
              <w:rPr>
                <w:rFonts w:ascii="Arial" w:hAnsi="Arial" w:cs="Arial"/>
                <w:sz w:val="18"/>
                <w:szCs w:val="18"/>
                <w:lang w:val="de-AT"/>
              </w:rPr>
              <w:t xml:space="preserve">(2024: € </w:t>
            </w:r>
            <w:r w:rsidR="00A431B7" w:rsidRPr="004369DE">
              <w:rPr>
                <w:rFonts w:ascii="Arial" w:hAnsi="Arial" w:cs="Arial"/>
                <w:sz w:val="18"/>
                <w:szCs w:val="18"/>
                <w:lang w:val="de-AT"/>
              </w:rPr>
              <w:t>8,00</w:t>
            </w:r>
            <w:r w:rsidRPr="004369DE">
              <w:rPr>
                <w:rFonts w:ascii="Arial" w:hAnsi="Arial" w:cs="Arial"/>
                <w:sz w:val="18"/>
                <w:szCs w:val="18"/>
                <w:lang w:val="de-AT"/>
              </w:rPr>
              <w:t>)</w:t>
            </w:r>
          </w:p>
        </w:tc>
      </w:tr>
      <w:tr w:rsidR="00601849" w:rsidRPr="004369DE" w14:paraId="4F76D5E3" w14:textId="77777777" w:rsidTr="001B5F0B">
        <w:trPr>
          <w:tblCellSpacing w:w="15" w:type="dxa"/>
        </w:trPr>
        <w:tc>
          <w:tcPr>
            <w:tcW w:w="3352" w:type="dxa"/>
            <w:shd w:val="clear" w:color="auto" w:fill="auto"/>
            <w:vAlign w:val="center"/>
            <w:hideMark/>
          </w:tcPr>
          <w:p w14:paraId="1C5376A2" w14:textId="780CCB2B" w:rsidR="00601849" w:rsidRPr="004369DE" w:rsidRDefault="00497A3E" w:rsidP="001B5F0B">
            <w:pPr>
              <w:rPr>
                <w:rFonts w:ascii="Arial" w:hAnsi="Arial" w:cs="Arial"/>
                <w:sz w:val="18"/>
                <w:szCs w:val="18"/>
                <w:lang w:val="de-AT"/>
              </w:rPr>
            </w:pPr>
            <w:r w:rsidRPr="004369DE">
              <w:rPr>
                <w:rFonts w:ascii="Arial" w:hAnsi="Arial" w:cs="Arial"/>
                <w:sz w:val="18"/>
                <w:szCs w:val="18"/>
                <w:lang w:val="de-AT"/>
              </w:rPr>
              <w:t>Wochenkarte</w:t>
            </w:r>
            <w:r w:rsidR="002571C7" w:rsidRPr="004369DE">
              <w:rPr>
                <w:rFonts w:ascii="Arial" w:hAnsi="Arial" w:cs="Arial"/>
                <w:sz w:val="18"/>
                <w:szCs w:val="18"/>
                <w:lang w:val="de-AT"/>
              </w:rPr>
              <w:t>/7-Tage-Karte Vollpreis</w:t>
            </w:r>
          </w:p>
        </w:tc>
        <w:tc>
          <w:tcPr>
            <w:tcW w:w="2947" w:type="dxa"/>
            <w:shd w:val="clear" w:color="auto" w:fill="auto"/>
            <w:vAlign w:val="center"/>
            <w:hideMark/>
          </w:tcPr>
          <w:p w14:paraId="48FAD63B" w14:textId="490352DF"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 xml:space="preserve">€ </w:t>
            </w:r>
            <w:r w:rsidR="00075085" w:rsidRPr="004369DE">
              <w:rPr>
                <w:rFonts w:ascii="Arial" w:hAnsi="Arial" w:cs="Arial"/>
                <w:sz w:val="18"/>
                <w:szCs w:val="18"/>
                <w:lang w:val="de-AT"/>
              </w:rPr>
              <w:t>14,30</w:t>
            </w:r>
            <w:r w:rsidRPr="004369DE">
              <w:rPr>
                <w:rFonts w:ascii="Arial" w:hAnsi="Arial" w:cs="Arial"/>
                <w:sz w:val="18"/>
                <w:szCs w:val="18"/>
                <w:lang w:val="de-AT"/>
              </w:rPr>
              <w:t xml:space="preserve"> (2024: €</w:t>
            </w:r>
            <w:r w:rsidR="00377727" w:rsidRPr="004369DE">
              <w:rPr>
                <w:rFonts w:ascii="Arial" w:hAnsi="Arial" w:cs="Arial"/>
                <w:sz w:val="18"/>
                <w:szCs w:val="18"/>
                <w:lang w:val="de-AT"/>
              </w:rPr>
              <w:t xml:space="preserve"> 13,90</w:t>
            </w:r>
            <w:r w:rsidRPr="004369DE">
              <w:rPr>
                <w:rFonts w:ascii="Arial" w:hAnsi="Arial" w:cs="Arial"/>
                <w:sz w:val="18"/>
                <w:szCs w:val="18"/>
                <w:lang w:val="de-AT"/>
              </w:rPr>
              <w:t>)</w:t>
            </w:r>
          </w:p>
        </w:tc>
        <w:tc>
          <w:tcPr>
            <w:tcW w:w="2507" w:type="dxa"/>
            <w:shd w:val="clear" w:color="auto" w:fill="auto"/>
            <w:vAlign w:val="center"/>
            <w:hideMark/>
          </w:tcPr>
          <w:p w14:paraId="59F963CF" w14:textId="533AF25B" w:rsidR="00601849" w:rsidRPr="004369DE" w:rsidRDefault="00601849" w:rsidP="001B5F0B">
            <w:pPr>
              <w:rPr>
                <w:rFonts w:ascii="Arial" w:hAnsi="Arial" w:cs="Arial"/>
                <w:sz w:val="18"/>
                <w:szCs w:val="18"/>
                <w:lang w:val="de-AT"/>
              </w:rPr>
            </w:pPr>
            <w:r w:rsidRPr="004369DE">
              <w:rPr>
                <w:rFonts w:ascii="Arial" w:hAnsi="Arial" w:cs="Arial"/>
                <w:sz w:val="18"/>
                <w:szCs w:val="18"/>
                <w:lang w:val="de-AT"/>
              </w:rPr>
              <w:t xml:space="preserve">€ </w:t>
            </w:r>
            <w:r w:rsidR="00D56302" w:rsidRPr="004369DE">
              <w:rPr>
                <w:rFonts w:ascii="Arial" w:hAnsi="Arial" w:cs="Arial"/>
                <w:sz w:val="18"/>
                <w:szCs w:val="18"/>
                <w:lang w:val="de-AT"/>
              </w:rPr>
              <w:t xml:space="preserve">19,70 </w:t>
            </w:r>
            <w:r w:rsidRPr="004369DE">
              <w:rPr>
                <w:rFonts w:ascii="Arial" w:hAnsi="Arial" w:cs="Arial"/>
                <w:sz w:val="18"/>
                <w:szCs w:val="18"/>
                <w:lang w:val="de-AT"/>
              </w:rPr>
              <w:t>(2024: €</w:t>
            </w:r>
            <w:r w:rsidR="001B3E76" w:rsidRPr="004369DE">
              <w:rPr>
                <w:rFonts w:ascii="Arial" w:hAnsi="Arial" w:cs="Arial"/>
                <w:sz w:val="18"/>
                <w:szCs w:val="18"/>
                <w:lang w:val="de-AT"/>
              </w:rPr>
              <w:t xml:space="preserve"> 19,70</w:t>
            </w:r>
            <w:r w:rsidRPr="004369DE">
              <w:rPr>
                <w:rFonts w:ascii="Arial" w:hAnsi="Arial" w:cs="Arial"/>
                <w:sz w:val="18"/>
                <w:szCs w:val="18"/>
                <w:lang w:val="de-AT"/>
              </w:rPr>
              <w:t>)</w:t>
            </w:r>
          </w:p>
        </w:tc>
      </w:tr>
      <w:tr w:rsidR="00CC373B" w:rsidRPr="004369DE" w14:paraId="7EB5779A" w14:textId="77777777" w:rsidTr="001B5F0B">
        <w:trPr>
          <w:tblCellSpacing w:w="15" w:type="dxa"/>
        </w:trPr>
        <w:tc>
          <w:tcPr>
            <w:tcW w:w="3352" w:type="dxa"/>
            <w:shd w:val="clear" w:color="auto" w:fill="auto"/>
            <w:vAlign w:val="center"/>
          </w:tcPr>
          <w:p w14:paraId="2B447052" w14:textId="597B112E" w:rsidR="00CC373B" w:rsidRPr="004369DE" w:rsidRDefault="00CC373B" w:rsidP="00CC373B">
            <w:pPr>
              <w:rPr>
                <w:rFonts w:ascii="Arial" w:hAnsi="Arial" w:cs="Arial"/>
                <w:sz w:val="18"/>
                <w:szCs w:val="18"/>
                <w:lang w:val="de-AT"/>
              </w:rPr>
            </w:pPr>
            <w:r w:rsidRPr="004369DE">
              <w:rPr>
                <w:rFonts w:ascii="Arial" w:hAnsi="Arial" w:cs="Arial"/>
                <w:sz w:val="18"/>
                <w:szCs w:val="18"/>
                <w:lang w:val="de-AT"/>
              </w:rPr>
              <w:t>Monats- und 31-Tage-Karten</w:t>
            </w:r>
          </w:p>
        </w:tc>
        <w:tc>
          <w:tcPr>
            <w:tcW w:w="2947" w:type="dxa"/>
            <w:shd w:val="clear" w:color="auto" w:fill="auto"/>
            <w:vAlign w:val="center"/>
          </w:tcPr>
          <w:p w14:paraId="7B95B55B" w14:textId="63718194" w:rsidR="00CC373B" w:rsidRPr="004369DE" w:rsidRDefault="00CC373B" w:rsidP="00CC373B">
            <w:pPr>
              <w:rPr>
                <w:rFonts w:ascii="Arial" w:hAnsi="Arial" w:cs="Arial"/>
                <w:sz w:val="18"/>
                <w:szCs w:val="18"/>
                <w:lang w:val="de-AT"/>
              </w:rPr>
            </w:pPr>
            <w:r w:rsidRPr="004369DE">
              <w:rPr>
                <w:rFonts w:ascii="Arial" w:hAnsi="Arial" w:cs="Arial"/>
                <w:sz w:val="18"/>
                <w:szCs w:val="18"/>
                <w:lang w:val="de-AT"/>
              </w:rPr>
              <w:t>€ 50,60 (2024: € 49,10)</w:t>
            </w:r>
          </w:p>
        </w:tc>
        <w:tc>
          <w:tcPr>
            <w:tcW w:w="2507" w:type="dxa"/>
            <w:shd w:val="clear" w:color="auto" w:fill="auto"/>
            <w:vAlign w:val="center"/>
          </w:tcPr>
          <w:p w14:paraId="395B4D69" w14:textId="50D88741" w:rsidR="00CC373B" w:rsidRPr="004369DE" w:rsidRDefault="00CC373B" w:rsidP="00CC373B">
            <w:pPr>
              <w:rPr>
                <w:rFonts w:ascii="Arial" w:hAnsi="Arial" w:cs="Arial"/>
                <w:sz w:val="18"/>
                <w:szCs w:val="18"/>
                <w:lang w:val="de-AT"/>
              </w:rPr>
            </w:pPr>
            <w:r w:rsidRPr="004369DE">
              <w:rPr>
                <w:rFonts w:ascii="Arial" w:hAnsi="Arial" w:cs="Arial"/>
                <w:sz w:val="18"/>
                <w:szCs w:val="18"/>
                <w:lang w:val="de-AT"/>
              </w:rPr>
              <w:t>€ 51,00 (2024: € 51,00)</w:t>
            </w:r>
          </w:p>
        </w:tc>
      </w:tr>
    </w:tbl>
    <w:p w14:paraId="382FE6F2" w14:textId="77777777" w:rsidR="00640535" w:rsidRPr="004369DE" w:rsidRDefault="00640535" w:rsidP="00871CDC">
      <w:pPr>
        <w:rPr>
          <w:rFonts w:ascii="Arial" w:hAnsi="Arial" w:cs="Arial"/>
          <w:b/>
          <w:bCs/>
          <w:sz w:val="20"/>
          <w:szCs w:val="20"/>
          <w:lang w:val="de-AT"/>
        </w:rPr>
      </w:pPr>
    </w:p>
    <w:p w14:paraId="5FEE7B5D" w14:textId="024DA3C3" w:rsidR="008C5AFE" w:rsidRPr="004369DE" w:rsidRDefault="008C5AFE" w:rsidP="008C5AFE">
      <w:pPr>
        <w:pStyle w:val="Listenabsatz"/>
        <w:numPr>
          <w:ilvl w:val="0"/>
          <w:numId w:val="23"/>
        </w:numPr>
        <w:ind w:left="360"/>
        <w:rPr>
          <w:rFonts w:ascii="Arial" w:hAnsi="Arial" w:cs="Arial"/>
          <w:sz w:val="20"/>
          <w:szCs w:val="20"/>
        </w:rPr>
      </w:pPr>
      <w:r w:rsidRPr="004369DE">
        <w:rPr>
          <w:rFonts w:ascii="Arial" w:hAnsi="Arial" w:cs="Arial"/>
          <w:b/>
          <w:bCs/>
          <w:sz w:val="20"/>
          <w:szCs w:val="20"/>
        </w:rPr>
        <w:t>VOR Top-Jugendticket</w:t>
      </w:r>
      <w:r w:rsidRPr="004369DE">
        <w:rPr>
          <w:rFonts w:ascii="Arial" w:hAnsi="Arial" w:cs="Arial"/>
          <w:sz w:val="20"/>
          <w:szCs w:val="20"/>
        </w:rPr>
        <w:t xml:space="preserve"> (gültig in Wien, NÖ, Burgenland)</w:t>
      </w:r>
      <w:r w:rsidRPr="004369DE">
        <w:rPr>
          <w:rFonts w:ascii="Arial" w:hAnsi="Arial" w:cs="Arial"/>
          <w:sz w:val="20"/>
          <w:szCs w:val="20"/>
        </w:rPr>
        <w:br/>
        <w:t>Ab dem Schuljahr 2025/26: € 88,60 (2024/25: € 86</w:t>
      </w:r>
      <w:r w:rsidRPr="004369DE">
        <w:rPr>
          <w:rFonts w:ascii="Arial" w:hAnsi="Arial" w:cs="Arial"/>
          <w:b/>
          <w:bCs/>
          <w:sz w:val="20"/>
          <w:szCs w:val="20"/>
        </w:rPr>
        <w:t>,–</w:t>
      </w:r>
      <w:r w:rsidRPr="004369DE">
        <w:rPr>
          <w:rFonts w:ascii="Arial" w:hAnsi="Arial" w:cs="Arial"/>
          <w:sz w:val="20"/>
          <w:szCs w:val="20"/>
        </w:rPr>
        <w:t>)</w:t>
      </w:r>
      <w:r w:rsidRPr="004369DE">
        <w:rPr>
          <w:rFonts w:ascii="Arial" w:hAnsi="Arial" w:cs="Arial"/>
          <w:sz w:val="20"/>
          <w:szCs w:val="20"/>
        </w:rPr>
        <w:br/>
        <w:t>Das Top-Jugendticket ermöglicht Schülerinnen, Schülern und Lehrlingen weiterhin ein Jahr lang unbegrenzte Mobilität auf allen Verbundlinien in der gesamten Ostregion – auch in den Ferien.</w:t>
      </w:r>
      <w:r w:rsidRPr="004369DE">
        <w:rPr>
          <w:rFonts w:ascii="Arial" w:hAnsi="Arial" w:cs="Arial"/>
          <w:sz w:val="20"/>
          <w:szCs w:val="20"/>
        </w:rPr>
        <w:br/>
      </w:r>
    </w:p>
    <w:p w14:paraId="3DA2D73F" w14:textId="654E0B30" w:rsidR="00C57230" w:rsidRPr="00C57230" w:rsidRDefault="008C5AFE" w:rsidP="00C57230">
      <w:pPr>
        <w:pStyle w:val="Listenabsatz"/>
        <w:numPr>
          <w:ilvl w:val="0"/>
          <w:numId w:val="27"/>
        </w:numPr>
        <w:spacing w:after="200"/>
        <w:ind w:left="360"/>
        <w:rPr>
          <w:rFonts w:ascii="Arial" w:hAnsi="Arial" w:cs="Arial"/>
          <w:sz w:val="20"/>
          <w:szCs w:val="20"/>
          <w:lang w:val="de-AT"/>
        </w:rPr>
      </w:pPr>
      <w:r w:rsidRPr="004369DE">
        <w:rPr>
          <w:rFonts w:ascii="Arial" w:hAnsi="Arial" w:cs="Arial"/>
          <w:b/>
          <w:bCs/>
          <w:sz w:val="20"/>
          <w:szCs w:val="20"/>
        </w:rPr>
        <w:t>Keine Preisanpassung beim Jugendticket</w:t>
      </w:r>
      <w:r w:rsidRPr="004369DE">
        <w:rPr>
          <w:rFonts w:ascii="Arial" w:hAnsi="Arial" w:cs="Arial"/>
          <w:sz w:val="20"/>
          <w:szCs w:val="20"/>
        </w:rPr>
        <w:t xml:space="preserve"> </w:t>
      </w:r>
      <w:r w:rsidRPr="004369DE">
        <w:rPr>
          <w:rFonts w:ascii="Arial" w:hAnsi="Arial" w:cs="Arial"/>
          <w:sz w:val="20"/>
          <w:szCs w:val="20"/>
        </w:rPr>
        <w:br/>
        <w:t>Der gesetzlich vorgeschriebene Selbstbehalt von € 19,60</w:t>
      </w:r>
      <w:r w:rsidRPr="004369DE">
        <w:rPr>
          <w:rFonts w:ascii="Arial" w:hAnsi="Arial" w:cs="Arial"/>
          <w:sz w:val="20"/>
          <w:szCs w:val="20"/>
          <w:lang w:val="de-AT"/>
        </w:rPr>
        <w:t xml:space="preserve"> </w:t>
      </w:r>
      <w:r w:rsidRPr="004369DE">
        <w:rPr>
          <w:rFonts w:ascii="Arial" w:hAnsi="Arial" w:cs="Arial"/>
          <w:sz w:val="20"/>
          <w:szCs w:val="20"/>
        </w:rPr>
        <w:t xml:space="preserve">bleibt unverändert. Das Jugendticket berechtigt zu Fahrten </w:t>
      </w:r>
      <w:r w:rsidR="0072526A" w:rsidRPr="004369DE">
        <w:rPr>
          <w:rFonts w:ascii="Arial" w:hAnsi="Arial" w:cs="Arial"/>
          <w:sz w:val="20"/>
          <w:szCs w:val="20"/>
        </w:rPr>
        <w:t xml:space="preserve">vom Wohnort zur Schule </w:t>
      </w:r>
      <w:r w:rsidR="00CD57F9" w:rsidRPr="004369DE">
        <w:rPr>
          <w:rFonts w:ascii="Arial" w:hAnsi="Arial" w:cs="Arial"/>
          <w:sz w:val="20"/>
          <w:szCs w:val="20"/>
        </w:rPr>
        <w:t>an regulären Schultagen (über das Schuljahr) und ganzjährig zur Lehrstelle.</w:t>
      </w:r>
      <w:r w:rsidR="002863A8">
        <w:rPr>
          <w:rFonts w:ascii="Arial" w:hAnsi="Arial" w:cs="Arial"/>
          <w:sz w:val="20"/>
          <w:szCs w:val="20"/>
        </w:rPr>
        <w:br/>
      </w:r>
    </w:p>
    <w:p w14:paraId="786C973D" w14:textId="48DE56D9" w:rsidR="00C57230" w:rsidRPr="00134ECA" w:rsidRDefault="00C57230" w:rsidP="00C57230">
      <w:pPr>
        <w:pStyle w:val="Listenabsatz"/>
        <w:numPr>
          <w:ilvl w:val="0"/>
          <w:numId w:val="27"/>
        </w:numPr>
        <w:spacing w:after="200"/>
        <w:ind w:left="360"/>
        <w:rPr>
          <w:rFonts w:ascii="Arial" w:hAnsi="Arial" w:cs="Arial"/>
          <w:sz w:val="20"/>
          <w:szCs w:val="20"/>
          <w:lang w:val="de-AT"/>
        </w:rPr>
      </w:pPr>
      <w:r w:rsidRPr="00C57230">
        <w:rPr>
          <w:rFonts w:ascii="Arial" w:hAnsi="Arial" w:cs="Arial"/>
          <w:b/>
          <w:bCs/>
          <w:sz w:val="20"/>
          <w:szCs w:val="20"/>
        </w:rPr>
        <w:lastRenderedPageBreak/>
        <w:t>Keine Preisanpassung bei</w:t>
      </w:r>
      <w:r w:rsidR="00077FD4">
        <w:rPr>
          <w:rFonts w:ascii="Arial" w:hAnsi="Arial" w:cs="Arial"/>
          <w:b/>
          <w:bCs/>
          <w:sz w:val="20"/>
          <w:szCs w:val="20"/>
        </w:rPr>
        <w:t>m</w:t>
      </w:r>
      <w:r w:rsidRPr="00C57230">
        <w:rPr>
          <w:rFonts w:ascii="Arial" w:hAnsi="Arial" w:cs="Arial"/>
          <w:b/>
          <w:bCs/>
          <w:sz w:val="20"/>
          <w:szCs w:val="20"/>
        </w:rPr>
        <w:t xml:space="preserve"> Freizeit- und Wochenendticket</w:t>
      </w:r>
      <w:r w:rsidRPr="00C57230">
        <w:rPr>
          <w:rFonts w:ascii="Arial" w:hAnsi="Arial" w:cs="Arial"/>
          <w:b/>
          <w:bCs/>
          <w:sz w:val="20"/>
          <w:szCs w:val="20"/>
        </w:rPr>
        <w:br/>
      </w:r>
      <w:r w:rsidRPr="00C57230">
        <w:rPr>
          <w:rFonts w:ascii="Arial" w:hAnsi="Arial" w:cs="Arial"/>
          <w:sz w:val="20"/>
          <w:szCs w:val="20"/>
        </w:rPr>
        <w:t>Die Preise für die Freizeit-Tickets, Freizeit-Tickets Plus sowie für die Wochenendtickets und Wochenendtickets Plus bleiben unverändert</w:t>
      </w:r>
      <w:r w:rsidR="00206EB4">
        <w:rPr>
          <w:rFonts w:ascii="Arial" w:hAnsi="Arial" w:cs="Arial"/>
          <w:sz w:val="20"/>
          <w:szCs w:val="20"/>
        </w:rPr>
        <w:t>.</w:t>
      </w:r>
    </w:p>
    <w:p w14:paraId="459DB2CE" w14:textId="66571477" w:rsidR="00134ECA" w:rsidRPr="00134ECA" w:rsidRDefault="00134ECA" w:rsidP="00134ECA">
      <w:pPr>
        <w:rPr>
          <w:rFonts w:ascii="Arial" w:hAnsi="Arial" w:cs="Arial"/>
          <w:sz w:val="20"/>
          <w:szCs w:val="20"/>
        </w:rPr>
      </w:pPr>
      <w:r w:rsidRPr="00134ECA">
        <w:rPr>
          <w:rFonts w:ascii="Arial" w:hAnsi="Arial" w:cs="Arial"/>
          <w:sz w:val="20"/>
          <w:szCs w:val="20"/>
        </w:rPr>
        <w:t xml:space="preserve">Weitere Informationen zu sämtlichen Ticketpreisen stehen unter </w:t>
      </w:r>
      <w:hyperlink r:id="rId8" w:history="1">
        <w:r w:rsidR="001C4B51" w:rsidRPr="001C4B51">
          <w:rPr>
            <w:rStyle w:val="Hyperlink"/>
            <w:rFonts w:ascii="Arial" w:hAnsi="Arial" w:cs="Arial"/>
            <w:sz w:val="20"/>
            <w:szCs w:val="20"/>
          </w:rPr>
          <w:t>www.preisauskunft.VOR.at</w:t>
        </w:r>
      </w:hyperlink>
      <w:r w:rsidR="001C4B51">
        <w:rPr>
          <w:rFonts w:ascii="Arial" w:hAnsi="Arial" w:cs="Arial"/>
          <w:sz w:val="20"/>
          <w:szCs w:val="20"/>
        </w:rPr>
        <w:t xml:space="preserve"> </w:t>
      </w:r>
      <w:r w:rsidRPr="00134ECA">
        <w:rPr>
          <w:rFonts w:ascii="Arial" w:hAnsi="Arial" w:cs="Arial"/>
          <w:sz w:val="20"/>
          <w:szCs w:val="20"/>
        </w:rPr>
        <w:t>zur Verfügung.</w:t>
      </w:r>
      <w:r w:rsidR="001C4B51" w:rsidRPr="00134ECA">
        <w:rPr>
          <w:rFonts w:ascii="Arial" w:hAnsi="Arial" w:cs="Arial"/>
          <w:sz w:val="20"/>
          <w:szCs w:val="20"/>
        </w:rPr>
        <w:t xml:space="preserve"> </w:t>
      </w:r>
    </w:p>
    <w:p w14:paraId="1C836CD0" w14:textId="77777777" w:rsidR="00C57230" w:rsidRDefault="00C57230" w:rsidP="00FC2018">
      <w:pPr>
        <w:rPr>
          <w:rFonts w:ascii="Arial" w:hAnsi="Arial" w:cs="Arial"/>
          <w:b/>
          <w:bCs/>
          <w:sz w:val="20"/>
          <w:szCs w:val="20"/>
        </w:rPr>
      </w:pPr>
    </w:p>
    <w:p w14:paraId="758F2937" w14:textId="78F2FA90" w:rsidR="00BA480B" w:rsidRPr="004369DE" w:rsidRDefault="00472F37" w:rsidP="00FC2018">
      <w:pPr>
        <w:rPr>
          <w:rFonts w:ascii="Arial" w:hAnsi="Arial" w:cs="Arial"/>
          <w:b/>
          <w:bCs/>
          <w:sz w:val="20"/>
          <w:szCs w:val="20"/>
        </w:rPr>
      </w:pPr>
      <w:r w:rsidRPr="004369DE">
        <w:rPr>
          <w:rFonts w:ascii="Arial" w:hAnsi="Arial" w:cs="Arial"/>
          <w:b/>
          <w:bCs/>
          <w:sz w:val="20"/>
          <w:szCs w:val="20"/>
        </w:rPr>
        <w:t>Wertsicherung leistet Beitrag zum weiteren Ausbau des öffentlichen Verkehrs</w:t>
      </w:r>
    </w:p>
    <w:p w14:paraId="66A10FA3" w14:textId="77777777" w:rsidR="00472F37" w:rsidRPr="004369DE" w:rsidRDefault="00472F37" w:rsidP="00FC2018">
      <w:pPr>
        <w:rPr>
          <w:rFonts w:ascii="Arial" w:hAnsi="Arial" w:cs="Arial"/>
          <w:sz w:val="20"/>
          <w:szCs w:val="20"/>
        </w:rPr>
      </w:pPr>
    </w:p>
    <w:p w14:paraId="25AA8809" w14:textId="77777777" w:rsidR="00C83AB4" w:rsidRPr="004369DE" w:rsidRDefault="00C83AB4" w:rsidP="00C83AB4">
      <w:pPr>
        <w:rPr>
          <w:rFonts w:ascii="Arial" w:hAnsi="Arial" w:cs="Arial"/>
          <w:sz w:val="20"/>
          <w:szCs w:val="20"/>
        </w:rPr>
      </w:pPr>
      <w:r w:rsidRPr="004369DE">
        <w:rPr>
          <w:rFonts w:ascii="Arial" w:hAnsi="Arial" w:cs="Arial"/>
          <w:sz w:val="20"/>
          <w:szCs w:val="20"/>
        </w:rPr>
        <w:t>Eine Wertsicherung bei den Einnahmen durch Ticketverkäufe ist notwendig, um den Ausbau des öffentlichen Verkehrs weiter vorantreiben zu können und auch um den steigenden Kosten der beteiligten Verkehrsunternehmen Rechnung zu tragen. Den größten Teil der Kosten, welche für den öffentlichen Verkehr in der Ostregion anfallen, trägt weiterhin die öffentliche Hand, also die Bundesländer Wien, Niederösterreich und Burgenland sowie der Bund. Auch nach der aktuellen Preisanpassung sind die Fahrgäste in der Ostregion im Vergleich zum PKW auf den meisten Strecken günstiger – und zudem sicherer, umwelt- und klimafreundlicher – unterwegs.</w:t>
      </w:r>
    </w:p>
    <w:p w14:paraId="3498B54D" w14:textId="77777777" w:rsidR="002E5C54" w:rsidRPr="004369DE" w:rsidRDefault="002E5C54" w:rsidP="00FC2018">
      <w:pPr>
        <w:rPr>
          <w:rFonts w:ascii="Arial" w:hAnsi="Arial" w:cs="Arial"/>
          <w:sz w:val="20"/>
          <w:szCs w:val="20"/>
        </w:rPr>
      </w:pPr>
    </w:p>
    <w:p w14:paraId="229DBB23" w14:textId="55A898A1" w:rsidR="002E5C54" w:rsidRPr="004369DE" w:rsidRDefault="002E5C54" w:rsidP="00FC2018">
      <w:pPr>
        <w:rPr>
          <w:rFonts w:ascii="Arial" w:hAnsi="Arial" w:cs="Arial"/>
          <w:b/>
          <w:bCs/>
          <w:sz w:val="20"/>
          <w:szCs w:val="20"/>
        </w:rPr>
      </w:pPr>
      <w:r w:rsidRPr="004369DE">
        <w:rPr>
          <w:rFonts w:ascii="Arial" w:hAnsi="Arial" w:cs="Arial"/>
          <w:b/>
          <w:bCs/>
          <w:sz w:val="20"/>
          <w:szCs w:val="20"/>
        </w:rPr>
        <w:t>Preisbeispiele Wien – St. Pölten und Mattersburg – Wr. Neustadt</w:t>
      </w:r>
      <w:r w:rsidR="007C774B" w:rsidRPr="004369DE">
        <w:rPr>
          <w:rFonts w:ascii="Arial" w:hAnsi="Arial" w:cs="Arial"/>
          <w:b/>
          <w:bCs/>
          <w:sz w:val="20"/>
          <w:szCs w:val="20"/>
        </w:rPr>
        <w:br/>
      </w:r>
    </w:p>
    <w:p w14:paraId="1273ABD0" w14:textId="57B6BE2A" w:rsidR="007C774B" w:rsidRPr="004369DE" w:rsidRDefault="007C774B" w:rsidP="007C774B">
      <w:pPr>
        <w:numPr>
          <w:ilvl w:val="0"/>
          <w:numId w:val="17"/>
        </w:numPr>
        <w:rPr>
          <w:rFonts w:ascii="Arial" w:hAnsi="Arial" w:cs="Arial"/>
          <w:sz w:val="20"/>
          <w:szCs w:val="20"/>
          <w:lang w:val="de-AT"/>
        </w:rPr>
      </w:pPr>
      <w:r w:rsidRPr="004369DE">
        <w:rPr>
          <w:rFonts w:ascii="Arial" w:hAnsi="Arial" w:cs="Arial"/>
          <w:sz w:val="20"/>
          <w:szCs w:val="20"/>
          <w:lang w:val="de-AT"/>
        </w:rPr>
        <w:t>Eine Einzelfahrt aus der Kernzone Wien nach St. Pölten Hauptbahnhof kostet ab 01. Juli 2025 € </w:t>
      </w:r>
      <w:r w:rsidR="001C27A5" w:rsidRPr="004369DE">
        <w:rPr>
          <w:rFonts w:ascii="Arial" w:hAnsi="Arial" w:cs="Arial"/>
          <w:sz w:val="20"/>
          <w:szCs w:val="20"/>
          <w:lang w:val="de-AT"/>
        </w:rPr>
        <w:t>16,40</w:t>
      </w:r>
      <w:r w:rsidRPr="004369DE">
        <w:rPr>
          <w:rFonts w:ascii="Arial" w:hAnsi="Arial" w:cs="Arial"/>
          <w:sz w:val="20"/>
          <w:szCs w:val="20"/>
          <w:lang w:val="de-AT"/>
        </w:rPr>
        <w:t xml:space="preserve"> (statt bisher € 16,00).</w:t>
      </w:r>
      <w:r w:rsidRPr="004369DE">
        <w:rPr>
          <w:rFonts w:ascii="Arial" w:hAnsi="Arial" w:cs="Arial"/>
          <w:sz w:val="20"/>
          <w:szCs w:val="20"/>
          <w:lang w:val="de-AT"/>
        </w:rPr>
        <w:br/>
        <w:t>Die reduzierten Tickets für Kinder kosten dann € </w:t>
      </w:r>
      <w:r w:rsidR="001C27A5" w:rsidRPr="004369DE">
        <w:rPr>
          <w:rFonts w:ascii="Arial" w:hAnsi="Arial" w:cs="Arial"/>
          <w:sz w:val="20"/>
          <w:szCs w:val="20"/>
          <w:lang w:val="de-AT"/>
        </w:rPr>
        <w:t>8,20</w:t>
      </w:r>
      <w:r w:rsidRPr="004369DE">
        <w:rPr>
          <w:rFonts w:ascii="Arial" w:hAnsi="Arial" w:cs="Arial"/>
          <w:sz w:val="20"/>
          <w:szCs w:val="20"/>
          <w:lang w:val="de-AT"/>
        </w:rPr>
        <w:t xml:space="preserve"> (statt € </w:t>
      </w:r>
      <w:r w:rsidR="00E95891" w:rsidRPr="004369DE">
        <w:rPr>
          <w:rFonts w:ascii="Arial" w:hAnsi="Arial" w:cs="Arial"/>
          <w:sz w:val="20"/>
          <w:szCs w:val="20"/>
          <w:lang w:val="de-AT"/>
        </w:rPr>
        <w:t>8,00</w:t>
      </w:r>
      <w:r w:rsidRPr="004369DE">
        <w:rPr>
          <w:rFonts w:ascii="Arial" w:hAnsi="Arial" w:cs="Arial"/>
          <w:sz w:val="20"/>
          <w:szCs w:val="20"/>
          <w:lang w:val="de-AT"/>
        </w:rPr>
        <w:t xml:space="preserve">) und für </w:t>
      </w:r>
      <w:r w:rsidR="00E95891" w:rsidRPr="004369DE">
        <w:rPr>
          <w:rFonts w:ascii="Arial" w:hAnsi="Arial" w:cs="Arial"/>
          <w:sz w:val="20"/>
          <w:szCs w:val="20"/>
          <w:lang w:val="de-AT"/>
        </w:rPr>
        <w:t>Senioren und Seniorinnen</w:t>
      </w:r>
      <w:r w:rsidRPr="004369DE">
        <w:rPr>
          <w:rFonts w:ascii="Arial" w:hAnsi="Arial" w:cs="Arial"/>
          <w:sz w:val="20"/>
          <w:szCs w:val="20"/>
          <w:lang w:val="de-AT"/>
        </w:rPr>
        <w:t xml:space="preserve"> €</w:t>
      </w:r>
      <w:r w:rsidR="00E95891" w:rsidRPr="004369DE">
        <w:rPr>
          <w:rFonts w:ascii="Arial" w:hAnsi="Arial" w:cs="Arial"/>
          <w:sz w:val="20"/>
          <w:szCs w:val="20"/>
          <w:lang w:val="de-AT"/>
        </w:rPr>
        <w:t xml:space="preserve"> </w:t>
      </w:r>
      <w:r w:rsidR="001C27A5" w:rsidRPr="004369DE">
        <w:rPr>
          <w:rFonts w:ascii="Arial" w:hAnsi="Arial" w:cs="Arial"/>
          <w:sz w:val="20"/>
          <w:szCs w:val="20"/>
          <w:lang w:val="de-AT"/>
        </w:rPr>
        <w:t xml:space="preserve">9,90 </w:t>
      </w:r>
      <w:r w:rsidRPr="004369DE">
        <w:rPr>
          <w:rFonts w:ascii="Arial" w:hAnsi="Arial" w:cs="Arial"/>
          <w:sz w:val="20"/>
          <w:szCs w:val="20"/>
          <w:lang w:val="de-AT"/>
        </w:rPr>
        <w:t>(statt € 9,</w:t>
      </w:r>
      <w:r w:rsidR="00E95891" w:rsidRPr="004369DE">
        <w:rPr>
          <w:rFonts w:ascii="Arial" w:hAnsi="Arial" w:cs="Arial"/>
          <w:sz w:val="20"/>
          <w:szCs w:val="20"/>
          <w:lang w:val="de-AT"/>
        </w:rPr>
        <w:t>7</w:t>
      </w:r>
      <w:r w:rsidRPr="004369DE">
        <w:rPr>
          <w:rFonts w:ascii="Arial" w:hAnsi="Arial" w:cs="Arial"/>
          <w:sz w:val="20"/>
          <w:szCs w:val="20"/>
          <w:lang w:val="de-AT"/>
        </w:rPr>
        <w:t>0).</w:t>
      </w:r>
    </w:p>
    <w:p w14:paraId="184C7A65" w14:textId="573CB1C1" w:rsidR="007C774B" w:rsidRPr="006607E8" w:rsidRDefault="007C774B" w:rsidP="00FC2018">
      <w:pPr>
        <w:numPr>
          <w:ilvl w:val="0"/>
          <w:numId w:val="17"/>
        </w:numPr>
        <w:rPr>
          <w:rFonts w:ascii="Arial" w:hAnsi="Arial" w:cs="Arial"/>
          <w:sz w:val="20"/>
          <w:szCs w:val="20"/>
          <w:lang w:val="de-AT"/>
        </w:rPr>
      </w:pPr>
      <w:r w:rsidRPr="004369DE">
        <w:rPr>
          <w:rFonts w:ascii="Arial" w:hAnsi="Arial" w:cs="Arial"/>
          <w:sz w:val="20"/>
          <w:szCs w:val="20"/>
          <w:lang w:val="de-AT"/>
        </w:rPr>
        <w:t>Ab 1. Juli 202</w:t>
      </w:r>
      <w:r w:rsidR="00E95891" w:rsidRPr="004369DE">
        <w:rPr>
          <w:rFonts w:ascii="Arial" w:hAnsi="Arial" w:cs="Arial"/>
          <w:sz w:val="20"/>
          <w:szCs w:val="20"/>
          <w:lang w:val="de-AT"/>
        </w:rPr>
        <w:t>5</w:t>
      </w:r>
      <w:r w:rsidRPr="004369DE">
        <w:rPr>
          <w:rFonts w:ascii="Arial" w:hAnsi="Arial" w:cs="Arial"/>
          <w:sz w:val="20"/>
          <w:szCs w:val="20"/>
          <w:lang w:val="de-AT"/>
        </w:rPr>
        <w:t xml:space="preserve"> beträgt das Entgelt für eine Einzelfahrt von Mattersburg Brunnenplatz nach Wr. Neustadt Hauptbahnhof € </w:t>
      </w:r>
      <w:r w:rsidR="006607E8" w:rsidRPr="004369DE">
        <w:rPr>
          <w:rFonts w:ascii="Arial" w:hAnsi="Arial" w:cs="Arial"/>
          <w:sz w:val="20"/>
          <w:szCs w:val="20"/>
          <w:lang w:val="de-AT"/>
        </w:rPr>
        <w:t xml:space="preserve">5,70 </w:t>
      </w:r>
      <w:r w:rsidRPr="004369DE">
        <w:rPr>
          <w:rFonts w:ascii="Arial" w:hAnsi="Arial" w:cs="Arial"/>
          <w:sz w:val="20"/>
          <w:szCs w:val="20"/>
          <w:lang w:val="de-AT"/>
        </w:rPr>
        <w:t>(statt € 5,</w:t>
      </w:r>
      <w:r w:rsidR="00CD3BB2" w:rsidRPr="004369DE">
        <w:rPr>
          <w:rFonts w:ascii="Arial" w:hAnsi="Arial" w:cs="Arial"/>
          <w:sz w:val="20"/>
          <w:szCs w:val="20"/>
          <w:lang w:val="de-AT"/>
        </w:rPr>
        <w:t>5</w:t>
      </w:r>
      <w:r w:rsidRPr="004369DE">
        <w:rPr>
          <w:rFonts w:ascii="Arial" w:hAnsi="Arial" w:cs="Arial"/>
          <w:sz w:val="20"/>
          <w:szCs w:val="20"/>
          <w:lang w:val="de-AT"/>
        </w:rPr>
        <w:t>0), für Kinder € </w:t>
      </w:r>
      <w:r w:rsidR="006607E8" w:rsidRPr="004369DE">
        <w:rPr>
          <w:rFonts w:ascii="Arial" w:hAnsi="Arial" w:cs="Arial"/>
          <w:sz w:val="20"/>
          <w:szCs w:val="20"/>
          <w:lang w:val="de-AT"/>
        </w:rPr>
        <w:t>2,90</w:t>
      </w:r>
      <w:r w:rsidRPr="004369DE">
        <w:rPr>
          <w:rFonts w:ascii="Arial" w:hAnsi="Arial" w:cs="Arial"/>
          <w:sz w:val="20"/>
          <w:szCs w:val="20"/>
          <w:lang w:val="de-AT"/>
        </w:rPr>
        <w:t xml:space="preserve"> (statt € 2,</w:t>
      </w:r>
      <w:r w:rsidR="00CD3BB2" w:rsidRPr="004369DE">
        <w:rPr>
          <w:rFonts w:ascii="Arial" w:hAnsi="Arial" w:cs="Arial"/>
          <w:sz w:val="20"/>
          <w:szCs w:val="20"/>
          <w:lang w:val="de-AT"/>
        </w:rPr>
        <w:t>8</w:t>
      </w:r>
      <w:r w:rsidRPr="004369DE">
        <w:rPr>
          <w:rFonts w:ascii="Arial" w:hAnsi="Arial" w:cs="Arial"/>
          <w:sz w:val="20"/>
          <w:szCs w:val="20"/>
          <w:lang w:val="de-AT"/>
        </w:rPr>
        <w:t xml:space="preserve">0) und für </w:t>
      </w:r>
      <w:r w:rsidR="00CD3BB2" w:rsidRPr="004369DE">
        <w:rPr>
          <w:rFonts w:ascii="Arial" w:hAnsi="Arial" w:cs="Arial"/>
          <w:sz w:val="20"/>
          <w:szCs w:val="20"/>
          <w:lang w:val="de-AT"/>
        </w:rPr>
        <w:t>Senioren</w:t>
      </w:r>
      <w:r w:rsidR="00CD3BB2" w:rsidRPr="006607E8">
        <w:rPr>
          <w:rFonts w:ascii="Arial" w:hAnsi="Arial" w:cs="Arial"/>
          <w:sz w:val="20"/>
          <w:szCs w:val="20"/>
          <w:lang w:val="de-AT"/>
        </w:rPr>
        <w:t xml:space="preserve"> und Seniorinnen</w:t>
      </w:r>
      <w:r w:rsidRPr="006607E8">
        <w:rPr>
          <w:rFonts w:ascii="Arial" w:hAnsi="Arial" w:cs="Arial"/>
          <w:sz w:val="20"/>
          <w:szCs w:val="20"/>
          <w:lang w:val="de-AT"/>
        </w:rPr>
        <w:t xml:space="preserve"> € </w:t>
      </w:r>
      <w:r w:rsidR="006607E8" w:rsidRPr="006607E8">
        <w:rPr>
          <w:rFonts w:ascii="Arial" w:hAnsi="Arial" w:cs="Arial"/>
          <w:sz w:val="20"/>
          <w:szCs w:val="20"/>
          <w:lang w:val="de-AT"/>
        </w:rPr>
        <w:t xml:space="preserve">3,40 </w:t>
      </w:r>
      <w:r w:rsidRPr="006607E8">
        <w:rPr>
          <w:rFonts w:ascii="Arial" w:hAnsi="Arial" w:cs="Arial"/>
          <w:sz w:val="20"/>
          <w:szCs w:val="20"/>
          <w:lang w:val="de-AT"/>
        </w:rPr>
        <w:t>(statt € 3,</w:t>
      </w:r>
      <w:r w:rsidR="00CD3BB2" w:rsidRPr="006607E8">
        <w:rPr>
          <w:rFonts w:ascii="Arial" w:hAnsi="Arial" w:cs="Arial"/>
          <w:sz w:val="20"/>
          <w:szCs w:val="20"/>
          <w:lang w:val="de-AT"/>
        </w:rPr>
        <w:t>3</w:t>
      </w:r>
      <w:r w:rsidRPr="006607E8">
        <w:rPr>
          <w:rFonts w:ascii="Arial" w:hAnsi="Arial" w:cs="Arial"/>
          <w:sz w:val="20"/>
          <w:szCs w:val="20"/>
          <w:lang w:val="de-AT"/>
        </w:rPr>
        <w:t>0).</w:t>
      </w:r>
    </w:p>
    <w:p w14:paraId="7AE3248C" w14:textId="6FB4D2A7" w:rsidR="00F81DD3" w:rsidRPr="00846B3D" w:rsidRDefault="00F81DD3" w:rsidP="00F81DD3">
      <w:pPr>
        <w:rPr>
          <w:rFonts w:ascii="Arial" w:hAnsi="Arial" w:cs="Arial"/>
          <w:color w:val="FF0000"/>
          <w:sz w:val="20"/>
          <w:szCs w:val="20"/>
        </w:rPr>
      </w:pPr>
    </w:p>
    <w:p w14:paraId="78F87751" w14:textId="77777777" w:rsidR="00BB5875" w:rsidRPr="00CA604A" w:rsidRDefault="00BB5875" w:rsidP="00BB5875">
      <w:pPr>
        <w:rPr>
          <w:rFonts w:ascii="Arial" w:hAnsi="Arial" w:cs="Arial"/>
          <w:b/>
        </w:rPr>
      </w:pPr>
      <w:r w:rsidRPr="00CA604A">
        <w:rPr>
          <w:rFonts w:ascii="Arial" w:hAnsi="Arial" w:cs="Arial"/>
          <w:b/>
        </w:rPr>
        <w:t>Rückfragehinweis</w:t>
      </w:r>
    </w:p>
    <w:p w14:paraId="6F065483" w14:textId="77777777" w:rsidR="00BB5875" w:rsidRDefault="00BB5875" w:rsidP="00BB5875">
      <w:pPr>
        <w:rPr>
          <w:rFonts w:ascii="Arial" w:hAnsi="Arial" w:cs="Arial"/>
          <w:b/>
          <w:noProof/>
          <w:sz w:val="20"/>
          <w:szCs w:val="20"/>
        </w:rPr>
      </w:pPr>
      <w:r w:rsidRPr="006574CD">
        <w:rPr>
          <w:rFonts w:ascii="Arial" w:hAnsi="Arial" w:cs="Arial"/>
          <w:b/>
          <w:noProof/>
          <w:sz w:val="20"/>
          <w:szCs w:val="20"/>
        </w:rPr>
        <w:t>Verkehrsverbund Ost-Region (VOR) GmbH</w:t>
      </w:r>
    </w:p>
    <w:p w14:paraId="60E51528" w14:textId="77777777" w:rsidR="00BB5875" w:rsidRDefault="00BB5875" w:rsidP="00BB5875">
      <w:pPr>
        <w:rPr>
          <w:rFonts w:ascii="Arial" w:hAnsi="Arial" w:cs="Arial"/>
          <w:b/>
          <w:noProof/>
          <w:sz w:val="20"/>
          <w:szCs w:val="20"/>
        </w:rPr>
      </w:pPr>
    </w:p>
    <w:p w14:paraId="4F698B34" w14:textId="77777777" w:rsidR="00BB5875" w:rsidRDefault="00BB5875" w:rsidP="00BB5875">
      <w:pPr>
        <w:rPr>
          <w:rFonts w:ascii="Arial" w:hAnsi="Arial" w:cs="Arial"/>
          <w:noProof/>
          <w:sz w:val="20"/>
          <w:szCs w:val="20"/>
        </w:rPr>
      </w:pPr>
      <w:r>
        <w:rPr>
          <w:rFonts w:ascii="Arial" w:hAnsi="Arial" w:cs="Arial"/>
          <w:noProof/>
          <w:sz w:val="20"/>
          <w:szCs w:val="20"/>
        </w:rPr>
        <w:t>Kamila Studzinska, BA</w:t>
      </w:r>
    </w:p>
    <w:p w14:paraId="1F0E2468" w14:textId="77777777" w:rsidR="00BB5875" w:rsidRDefault="00BB5875" w:rsidP="00BB5875">
      <w:pPr>
        <w:rPr>
          <w:rFonts w:ascii="Arial" w:hAnsi="Arial" w:cs="Arial"/>
          <w:noProof/>
          <w:sz w:val="20"/>
          <w:szCs w:val="20"/>
        </w:rPr>
      </w:pPr>
      <w:r>
        <w:rPr>
          <w:rFonts w:ascii="Arial" w:hAnsi="Arial" w:cs="Arial"/>
          <w:noProof/>
          <w:sz w:val="20"/>
          <w:szCs w:val="20"/>
        </w:rPr>
        <w:t>Pressesprecherin</w:t>
      </w:r>
    </w:p>
    <w:p w14:paraId="7C976D70" w14:textId="77777777" w:rsidR="00BB5875" w:rsidRDefault="00BB5875" w:rsidP="00BB5875">
      <w:pPr>
        <w:rPr>
          <w:rFonts w:ascii="Arial" w:hAnsi="Arial" w:cs="Arial"/>
          <w:noProof/>
          <w:sz w:val="20"/>
          <w:szCs w:val="20"/>
        </w:rPr>
      </w:pPr>
      <w:r>
        <w:rPr>
          <w:rFonts w:ascii="Arial" w:hAnsi="Arial" w:cs="Arial"/>
          <w:sz w:val="20"/>
          <w:szCs w:val="20"/>
        </w:rPr>
        <w:t>Kommunikation | Marketing | PR</w:t>
      </w:r>
    </w:p>
    <w:p w14:paraId="584E62B6" w14:textId="77777777" w:rsidR="00BB5875" w:rsidRDefault="00BB5875" w:rsidP="00BB5875">
      <w:pPr>
        <w:rPr>
          <w:rFonts w:ascii="Arial" w:hAnsi="Arial" w:cs="Arial"/>
          <w:b/>
          <w:noProof/>
          <w:sz w:val="20"/>
          <w:szCs w:val="20"/>
        </w:rPr>
      </w:pPr>
    </w:p>
    <w:p w14:paraId="43CD096E" w14:textId="77777777" w:rsidR="00BB5875" w:rsidRDefault="00BB5875" w:rsidP="00BB5875">
      <w:pPr>
        <w:rPr>
          <w:rFonts w:ascii="Arial" w:hAnsi="Arial" w:cs="Arial"/>
          <w:noProof/>
          <w:sz w:val="20"/>
          <w:szCs w:val="20"/>
        </w:rPr>
      </w:pPr>
      <w:r>
        <w:rPr>
          <w:rFonts w:ascii="Arial" w:hAnsi="Arial" w:cs="Arial"/>
          <w:noProof/>
          <w:sz w:val="20"/>
          <w:szCs w:val="20"/>
        </w:rPr>
        <w:t>M: +43 664 60 955 2215</w:t>
      </w:r>
    </w:p>
    <w:p w14:paraId="7A92D8B9" w14:textId="7E5577A9" w:rsidR="00F81DD3" w:rsidRPr="00FC2018" w:rsidRDefault="00BB5875" w:rsidP="00FC2018">
      <w:pPr>
        <w:rPr>
          <w:rFonts w:ascii="Arial" w:hAnsi="Arial" w:cs="Arial"/>
          <w:noProof/>
          <w:sz w:val="20"/>
          <w:szCs w:val="20"/>
        </w:rPr>
      </w:pPr>
      <w:r>
        <w:rPr>
          <w:rFonts w:ascii="Arial" w:hAnsi="Arial" w:cs="Arial"/>
          <w:noProof/>
          <w:sz w:val="20"/>
          <w:szCs w:val="20"/>
        </w:rPr>
        <w:t xml:space="preserve">E: </w:t>
      </w:r>
      <w:r w:rsidR="004E1C69">
        <w:rPr>
          <w:rFonts w:ascii="Arial" w:hAnsi="Arial" w:cs="Arial"/>
          <w:noProof/>
          <w:sz w:val="20"/>
          <w:szCs w:val="20"/>
        </w:rPr>
        <w:t>kamila.studzinska</w:t>
      </w:r>
      <w:r>
        <w:rPr>
          <w:rFonts w:ascii="Arial" w:hAnsi="Arial" w:cs="Arial"/>
          <w:noProof/>
          <w:sz w:val="20"/>
          <w:szCs w:val="20"/>
        </w:rPr>
        <w:t>@vor.at</w:t>
      </w:r>
    </w:p>
    <w:sectPr w:rsidR="00F81DD3" w:rsidRPr="00FC2018" w:rsidSect="00501B21">
      <w:headerReference w:type="default" r:id="rId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6B3A" w14:textId="77777777" w:rsidR="00A6150F" w:rsidRDefault="00A6150F" w:rsidP="00B62A86">
      <w:r>
        <w:separator/>
      </w:r>
    </w:p>
  </w:endnote>
  <w:endnote w:type="continuationSeparator" w:id="0">
    <w:p w14:paraId="7FBA3E99" w14:textId="77777777" w:rsidR="00A6150F" w:rsidRDefault="00A6150F" w:rsidP="00B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DDB8" w14:textId="77777777" w:rsidR="00A6150F" w:rsidRDefault="00A6150F" w:rsidP="00B62A86">
      <w:r>
        <w:separator/>
      </w:r>
    </w:p>
  </w:footnote>
  <w:footnote w:type="continuationSeparator" w:id="0">
    <w:p w14:paraId="123851D4" w14:textId="77777777" w:rsidR="00A6150F" w:rsidRDefault="00A6150F" w:rsidP="00B6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32E6" w14:textId="66392D0B" w:rsidR="005F7B85" w:rsidRPr="005B5362" w:rsidRDefault="005F7B85" w:rsidP="005F7B85">
    <w:pPr>
      <w:pStyle w:val="Kopfzeile"/>
      <w:rPr>
        <w:rFonts w:ascii="Arial" w:hAnsi="Arial" w:cs="Arial"/>
        <w:b/>
        <w:bCs/>
        <w:color w:val="EE0000"/>
      </w:rPr>
    </w:pPr>
    <w:r w:rsidRPr="005B5362">
      <w:rPr>
        <w:b/>
        <w:bCs/>
        <w:color w:val="EE0000"/>
      </w:rPr>
      <w:tab/>
    </w:r>
    <w:r w:rsidRPr="005B5362">
      <w:rPr>
        <w:rFonts w:ascii="Arial" w:hAnsi="Arial" w:cs="Arial"/>
        <w:b/>
        <w:bCs/>
        <w:color w:val="EE0000"/>
      </w:rPr>
      <w:t xml:space="preserve">Kommunikationssperrfrist bis </w:t>
    </w:r>
    <w:r w:rsidR="00C765B3">
      <w:rPr>
        <w:rFonts w:ascii="Arial" w:hAnsi="Arial" w:cs="Arial"/>
        <w:b/>
        <w:bCs/>
        <w:color w:val="EE0000"/>
      </w:rPr>
      <w:t>02</w:t>
    </w:r>
    <w:r w:rsidRPr="005B5362">
      <w:rPr>
        <w:rFonts w:ascii="Arial" w:hAnsi="Arial" w:cs="Arial"/>
        <w:b/>
        <w:bCs/>
        <w:color w:val="EE0000"/>
      </w:rPr>
      <w:t>.</w:t>
    </w:r>
    <w:r w:rsidR="00C765B3">
      <w:rPr>
        <w:rFonts w:ascii="Arial" w:hAnsi="Arial" w:cs="Arial"/>
        <w:b/>
        <w:bCs/>
        <w:color w:val="EE0000"/>
      </w:rPr>
      <w:t>06</w:t>
    </w:r>
    <w:r w:rsidRPr="005B5362">
      <w:rPr>
        <w:rFonts w:ascii="Arial" w:hAnsi="Arial" w:cs="Arial"/>
        <w:b/>
        <w:bCs/>
        <w:color w:val="EE0000"/>
      </w:rPr>
      <w:t>.1</w:t>
    </w:r>
    <w:r w:rsidR="004369DE">
      <w:rPr>
        <w:rFonts w:ascii="Arial" w:hAnsi="Arial" w:cs="Arial"/>
        <w:b/>
        <w:bCs/>
        <w:color w:val="EE0000"/>
      </w:rPr>
      <w:t>2</w:t>
    </w:r>
    <w:r w:rsidRPr="005B5362">
      <w:rPr>
        <w:rFonts w:ascii="Arial" w:hAnsi="Arial" w:cs="Arial"/>
        <w:b/>
        <w:bCs/>
        <w:color w:val="EE0000"/>
      </w:rPr>
      <w:t xml:space="preserve"> Uhr</w:t>
    </w:r>
  </w:p>
  <w:p w14:paraId="080CF22B" w14:textId="77777777" w:rsidR="005F7B85" w:rsidRDefault="005F7B85" w:rsidP="005F7B85">
    <w:pPr>
      <w:pStyle w:val="Kopfzeile"/>
      <w:rPr>
        <w:rFonts w:ascii="Arial" w:hAnsi="Arial" w:cs="Arial"/>
        <w:b/>
        <w:bCs/>
      </w:rPr>
    </w:pPr>
  </w:p>
  <w:p w14:paraId="2B019F19" w14:textId="24D4855C" w:rsidR="003F5893" w:rsidRPr="003244F7" w:rsidRDefault="005F7B85" w:rsidP="005F7B85">
    <w:pPr>
      <w:pStyle w:val="Kopfzeile"/>
      <w:rPr>
        <w:b/>
        <w:bCs/>
      </w:rPr>
    </w:pPr>
    <w:r w:rsidRPr="003244F7">
      <w:rPr>
        <w:b/>
        <w:bCs/>
      </w:rPr>
      <w:t xml:space="preserve">                                                    </w:t>
    </w:r>
    <w:r>
      <w:rPr>
        <w:b/>
        <w:bCs/>
      </w:rPr>
      <w:tab/>
    </w:r>
    <w:r w:rsidR="003F5893" w:rsidRPr="003244F7">
      <w:rPr>
        <w:b/>
        <w:bCs/>
        <w:noProof/>
      </w:rPr>
      <w:drawing>
        <wp:inline distT="0" distB="0" distL="0" distR="0" wp14:anchorId="33DDE8AF" wp14:editId="6334495B">
          <wp:extent cx="1426284" cy="440559"/>
          <wp:effectExtent l="0" t="0" r="2540"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84" cy="440559"/>
                  </a:xfrm>
                  <a:prstGeom prst="rect">
                    <a:avLst/>
                  </a:prstGeom>
                </pic:spPr>
              </pic:pic>
            </a:graphicData>
          </a:graphic>
        </wp:inline>
      </w:drawing>
    </w:r>
  </w:p>
  <w:p w14:paraId="78414823" w14:textId="77777777" w:rsidR="0041485B" w:rsidRDefault="0041485B" w:rsidP="002850E3">
    <w:pPr>
      <w:pStyle w:val="Kopfzeile"/>
      <w:jc w:val="right"/>
    </w:pPr>
  </w:p>
  <w:p w14:paraId="7B79608C" w14:textId="77777777" w:rsidR="0041485B" w:rsidRDefault="0041485B" w:rsidP="002950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154"/>
    <w:multiLevelType w:val="hybridMultilevel"/>
    <w:tmpl w:val="02FAA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8368A"/>
    <w:multiLevelType w:val="hybridMultilevel"/>
    <w:tmpl w:val="1EAC2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953E41"/>
    <w:multiLevelType w:val="hybridMultilevel"/>
    <w:tmpl w:val="0EA67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3673A"/>
    <w:multiLevelType w:val="hybridMultilevel"/>
    <w:tmpl w:val="C8029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F57CA"/>
    <w:multiLevelType w:val="hybridMultilevel"/>
    <w:tmpl w:val="48A414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2BE357A"/>
    <w:multiLevelType w:val="hybridMultilevel"/>
    <w:tmpl w:val="9098B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39E3F7A"/>
    <w:multiLevelType w:val="hybridMultilevel"/>
    <w:tmpl w:val="B712E2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724FF2"/>
    <w:multiLevelType w:val="hybridMultilevel"/>
    <w:tmpl w:val="561271B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76C44FB"/>
    <w:multiLevelType w:val="multilevel"/>
    <w:tmpl w:val="4B5C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31EBC"/>
    <w:multiLevelType w:val="hybridMultilevel"/>
    <w:tmpl w:val="8C0630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077429"/>
    <w:multiLevelType w:val="hybridMultilevel"/>
    <w:tmpl w:val="2160B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9722BEE"/>
    <w:multiLevelType w:val="hybridMultilevel"/>
    <w:tmpl w:val="D13A1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719E1"/>
    <w:multiLevelType w:val="hybridMultilevel"/>
    <w:tmpl w:val="1D26B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642BAC"/>
    <w:multiLevelType w:val="hybridMultilevel"/>
    <w:tmpl w:val="2494B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8C01C1"/>
    <w:multiLevelType w:val="hybridMultilevel"/>
    <w:tmpl w:val="E92AA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4F5AC5"/>
    <w:multiLevelType w:val="hybridMultilevel"/>
    <w:tmpl w:val="5CEA15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4884FDB"/>
    <w:multiLevelType w:val="hybridMultilevel"/>
    <w:tmpl w:val="AC664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C0C20F2"/>
    <w:multiLevelType w:val="hybridMultilevel"/>
    <w:tmpl w:val="42E0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DCC53B0"/>
    <w:multiLevelType w:val="hybridMultilevel"/>
    <w:tmpl w:val="A880B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E62116"/>
    <w:multiLevelType w:val="hybridMultilevel"/>
    <w:tmpl w:val="0F929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CD0F22"/>
    <w:multiLevelType w:val="hybridMultilevel"/>
    <w:tmpl w:val="61660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37788C"/>
    <w:multiLevelType w:val="hybridMultilevel"/>
    <w:tmpl w:val="D4206F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742050DE"/>
    <w:multiLevelType w:val="hybridMultilevel"/>
    <w:tmpl w:val="307C7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C208B6"/>
    <w:multiLevelType w:val="hybridMultilevel"/>
    <w:tmpl w:val="DA70BE8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79852C78"/>
    <w:multiLevelType w:val="hybridMultilevel"/>
    <w:tmpl w:val="8A7A14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821CAB"/>
    <w:multiLevelType w:val="hybridMultilevel"/>
    <w:tmpl w:val="6E1EFD52"/>
    <w:lvl w:ilvl="0" w:tplc="856C1330">
      <w:start w:val="21"/>
      <w:numFmt w:val="bullet"/>
      <w:lvlText w:val="-"/>
      <w:lvlJc w:val="left"/>
      <w:pPr>
        <w:ind w:left="720" w:hanging="360"/>
      </w:pPr>
      <w:rPr>
        <w:rFonts w:ascii="Arial" w:eastAsiaTheme="minorEastAsia"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01958414">
    <w:abstractNumId w:val="12"/>
  </w:num>
  <w:num w:numId="2" w16cid:durableId="1682927925">
    <w:abstractNumId w:val="0"/>
  </w:num>
  <w:num w:numId="3" w16cid:durableId="1329989590">
    <w:abstractNumId w:val="14"/>
  </w:num>
  <w:num w:numId="4" w16cid:durableId="1007755912">
    <w:abstractNumId w:val="2"/>
  </w:num>
  <w:num w:numId="5" w16cid:durableId="1681930333">
    <w:abstractNumId w:val="11"/>
  </w:num>
  <w:num w:numId="6" w16cid:durableId="1985894658">
    <w:abstractNumId w:val="20"/>
  </w:num>
  <w:num w:numId="7" w16cid:durableId="1414622789">
    <w:abstractNumId w:val="3"/>
  </w:num>
  <w:num w:numId="8" w16cid:durableId="703944818">
    <w:abstractNumId w:val="18"/>
  </w:num>
  <w:num w:numId="9" w16cid:durableId="2105222750">
    <w:abstractNumId w:val="22"/>
  </w:num>
  <w:num w:numId="10" w16cid:durableId="2059427549">
    <w:abstractNumId w:val="19"/>
  </w:num>
  <w:num w:numId="11" w16cid:durableId="447048507">
    <w:abstractNumId w:val="24"/>
  </w:num>
  <w:num w:numId="12" w16cid:durableId="609626685">
    <w:abstractNumId w:val="21"/>
  </w:num>
  <w:num w:numId="13" w16cid:durableId="366416833">
    <w:abstractNumId w:val="24"/>
  </w:num>
  <w:num w:numId="14" w16cid:durableId="1679039259">
    <w:abstractNumId w:val="23"/>
  </w:num>
  <w:num w:numId="15" w16cid:durableId="304088841">
    <w:abstractNumId w:val="7"/>
  </w:num>
  <w:num w:numId="16" w16cid:durableId="775253541">
    <w:abstractNumId w:val="4"/>
  </w:num>
  <w:num w:numId="17" w16cid:durableId="1776510178">
    <w:abstractNumId w:val="8"/>
  </w:num>
  <w:num w:numId="18" w16cid:durableId="1696609958">
    <w:abstractNumId w:val="25"/>
  </w:num>
  <w:num w:numId="19" w16cid:durableId="1639602807">
    <w:abstractNumId w:val="16"/>
  </w:num>
  <w:num w:numId="20" w16cid:durableId="1750808449">
    <w:abstractNumId w:val="5"/>
  </w:num>
  <w:num w:numId="21" w16cid:durableId="1915629271">
    <w:abstractNumId w:val="9"/>
  </w:num>
  <w:num w:numId="22" w16cid:durableId="502939011">
    <w:abstractNumId w:val="6"/>
  </w:num>
  <w:num w:numId="23" w16cid:durableId="1625304791">
    <w:abstractNumId w:val="10"/>
  </w:num>
  <w:num w:numId="24" w16cid:durableId="981496490">
    <w:abstractNumId w:val="15"/>
  </w:num>
  <w:num w:numId="25" w16cid:durableId="561136020">
    <w:abstractNumId w:val="1"/>
  </w:num>
  <w:num w:numId="26" w16cid:durableId="1112630900">
    <w:abstractNumId w:val="13"/>
  </w:num>
  <w:num w:numId="27" w16cid:durableId="1953123156">
    <w:abstractNumId w:val="15"/>
  </w:num>
  <w:num w:numId="28" w16cid:durableId="1872453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8A"/>
    <w:rsid w:val="000008E8"/>
    <w:rsid w:val="00000D8A"/>
    <w:rsid w:val="00001FE0"/>
    <w:rsid w:val="0000449F"/>
    <w:rsid w:val="00007D82"/>
    <w:rsid w:val="000103B9"/>
    <w:rsid w:val="00011D48"/>
    <w:rsid w:val="00020905"/>
    <w:rsid w:val="000304A2"/>
    <w:rsid w:val="00033583"/>
    <w:rsid w:val="00037181"/>
    <w:rsid w:val="00040A59"/>
    <w:rsid w:val="000467C8"/>
    <w:rsid w:val="0005554C"/>
    <w:rsid w:val="000578F9"/>
    <w:rsid w:val="00057D05"/>
    <w:rsid w:val="00061E03"/>
    <w:rsid w:val="000733E9"/>
    <w:rsid w:val="00075085"/>
    <w:rsid w:val="00075DAF"/>
    <w:rsid w:val="00076690"/>
    <w:rsid w:val="00077FD4"/>
    <w:rsid w:val="00083A31"/>
    <w:rsid w:val="00083EFE"/>
    <w:rsid w:val="00085090"/>
    <w:rsid w:val="000908B6"/>
    <w:rsid w:val="00094180"/>
    <w:rsid w:val="000948BC"/>
    <w:rsid w:val="000A094D"/>
    <w:rsid w:val="000A5241"/>
    <w:rsid w:val="000A5A7A"/>
    <w:rsid w:val="000B1AF1"/>
    <w:rsid w:val="000B30C1"/>
    <w:rsid w:val="000B3234"/>
    <w:rsid w:val="000C0524"/>
    <w:rsid w:val="000C68E6"/>
    <w:rsid w:val="000D1349"/>
    <w:rsid w:val="000D34E3"/>
    <w:rsid w:val="000D394F"/>
    <w:rsid w:val="000E26F4"/>
    <w:rsid w:val="000E3728"/>
    <w:rsid w:val="000E3E23"/>
    <w:rsid w:val="000F0075"/>
    <w:rsid w:val="000F0A16"/>
    <w:rsid w:val="000F2224"/>
    <w:rsid w:val="001005B1"/>
    <w:rsid w:val="00100B6D"/>
    <w:rsid w:val="00100FE2"/>
    <w:rsid w:val="00105914"/>
    <w:rsid w:val="001075CF"/>
    <w:rsid w:val="00115C8D"/>
    <w:rsid w:val="00120A55"/>
    <w:rsid w:val="00123E5E"/>
    <w:rsid w:val="00126351"/>
    <w:rsid w:val="001302CF"/>
    <w:rsid w:val="00131A22"/>
    <w:rsid w:val="00134ECA"/>
    <w:rsid w:val="00135A3B"/>
    <w:rsid w:val="001463F1"/>
    <w:rsid w:val="00146AE3"/>
    <w:rsid w:val="00150439"/>
    <w:rsid w:val="00151BAB"/>
    <w:rsid w:val="0015293D"/>
    <w:rsid w:val="00174F65"/>
    <w:rsid w:val="00184646"/>
    <w:rsid w:val="00186A09"/>
    <w:rsid w:val="00190297"/>
    <w:rsid w:val="00193474"/>
    <w:rsid w:val="001947C8"/>
    <w:rsid w:val="00195E4A"/>
    <w:rsid w:val="001A0C28"/>
    <w:rsid w:val="001A65A0"/>
    <w:rsid w:val="001A7503"/>
    <w:rsid w:val="001A7A6D"/>
    <w:rsid w:val="001B3065"/>
    <w:rsid w:val="001B3E76"/>
    <w:rsid w:val="001B48FC"/>
    <w:rsid w:val="001B4D2C"/>
    <w:rsid w:val="001B6B4D"/>
    <w:rsid w:val="001B6FA1"/>
    <w:rsid w:val="001C0EA4"/>
    <w:rsid w:val="001C1E23"/>
    <w:rsid w:val="001C27A5"/>
    <w:rsid w:val="001C423B"/>
    <w:rsid w:val="001C4B51"/>
    <w:rsid w:val="001C62F5"/>
    <w:rsid w:val="001D2998"/>
    <w:rsid w:val="001E0E51"/>
    <w:rsid w:val="001E6EFE"/>
    <w:rsid w:val="001F3D84"/>
    <w:rsid w:val="001F6B67"/>
    <w:rsid w:val="002038C5"/>
    <w:rsid w:val="00206EB4"/>
    <w:rsid w:val="00215C3A"/>
    <w:rsid w:val="002224AC"/>
    <w:rsid w:val="00231901"/>
    <w:rsid w:val="00233E32"/>
    <w:rsid w:val="00237857"/>
    <w:rsid w:val="00242512"/>
    <w:rsid w:val="00244CC9"/>
    <w:rsid w:val="00246D3A"/>
    <w:rsid w:val="00250B97"/>
    <w:rsid w:val="0025193C"/>
    <w:rsid w:val="0025198E"/>
    <w:rsid w:val="002571C7"/>
    <w:rsid w:val="00257C08"/>
    <w:rsid w:val="00260C04"/>
    <w:rsid w:val="00264050"/>
    <w:rsid w:val="0026575D"/>
    <w:rsid w:val="00266574"/>
    <w:rsid w:val="00275725"/>
    <w:rsid w:val="002767D2"/>
    <w:rsid w:val="00281317"/>
    <w:rsid w:val="00284775"/>
    <w:rsid w:val="002850E3"/>
    <w:rsid w:val="00285606"/>
    <w:rsid w:val="0028616C"/>
    <w:rsid w:val="002863A8"/>
    <w:rsid w:val="00286B3C"/>
    <w:rsid w:val="00290BC9"/>
    <w:rsid w:val="00295095"/>
    <w:rsid w:val="002A2722"/>
    <w:rsid w:val="002A6FFB"/>
    <w:rsid w:val="002B176B"/>
    <w:rsid w:val="002B2C63"/>
    <w:rsid w:val="002B7734"/>
    <w:rsid w:val="002C0FAD"/>
    <w:rsid w:val="002C55DF"/>
    <w:rsid w:val="002D0FBD"/>
    <w:rsid w:val="002D21C5"/>
    <w:rsid w:val="002D22B3"/>
    <w:rsid w:val="002D5B02"/>
    <w:rsid w:val="002D644B"/>
    <w:rsid w:val="002E0848"/>
    <w:rsid w:val="002E1C93"/>
    <w:rsid w:val="002E219C"/>
    <w:rsid w:val="002E5C54"/>
    <w:rsid w:val="002E6E91"/>
    <w:rsid w:val="00303208"/>
    <w:rsid w:val="00305D60"/>
    <w:rsid w:val="00321013"/>
    <w:rsid w:val="00321AB3"/>
    <w:rsid w:val="003244F7"/>
    <w:rsid w:val="003275E4"/>
    <w:rsid w:val="00341E2D"/>
    <w:rsid w:val="00344776"/>
    <w:rsid w:val="003524A8"/>
    <w:rsid w:val="003530BC"/>
    <w:rsid w:val="003668D5"/>
    <w:rsid w:val="00374982"/>
    <w:rsid w:val="00376203"/>
    <w:rsid w:val="0037708A"/>
    <w:rsid w:val="00377727"/>
    <w:rsid w:val="0038090F"/>
    <w:rsid w:val="00384853"/>
    <w:rsid w:val="00385EE6"/>
    <w:rsid w:val="00386CD6"/>
    <w:rsid w:val="00396EB5"/>
    <w:rsid w:val="00397AF1"/>
    <w:rsid w:val="003A0A78"/>
    <w:rsid w:val="003B1E80"/>
    <w:rsid w:val="003B406A"/>
    <w:rsid w:val="003B752D"/>
    <w:rsid w:val="003B7E6F"/>
    <w:rsid w:val="003C2D98"/>
    <w:rsid w:val="003C3313"/>
    <w:rsid w:val="003C4537"/>
    <w:rsid w:val="003C461C"/>
    <w:rsid w:val="003D581A"/>
    <w:rsid w:val="003D5E02"/>
    <w:rsid w:val="003D60B1"/>
    <w:rsid w:val="003E00A0"/>
    <w:rsid w:val="003E0491"/>
    <w:rsid w:val="003E2888"/>
    <w:rsid w:val="003E66A3"/>
    <w:rsid w:val="003E7BA7"/>
    <w:rsid w:val="003F3CB1"/>
    <w:rsid w:val="003F4690"/>
    <w:rsid w:val="003F5893"/>
    <w:rsid w:val="0040114C"/>
    <w:rsid w:val="0040270D"/>
    <w:rsid w:val="004075D9"/>
    <w:rsid w:val="0041310C"/>
    <w:rsid w:val="0041485B"/>
    <w:rsid w:val="004222CC"/>
    <w:rsid w:val="00422D74"/>
    <w:rsid w:val="004245E5"/>
    <w:rsid w:val="004274D2"/>
    <w:rsid w:val="004369DE"/>
    <w:rsid w:val="00440333"/>
    <w:rsid w:val="00444F80"/>
    <w:rsid w:val="0044512E"/>
    <w:rsid w:val="0044597D"/>
    <w:rsid w:val="004542AD"/>
    <w:rsid w:val="004560D2"/>
    <w:rsid w:val="0046502D"/>
    <w:rsid w:val="00465518"/>
    <w:rsid w:val="00472F37"/>
    <w:rsid w:val="00477837"/>
    <w:rsid w:val="0048128A"/>
    <w:rsid w:val="00482E50"/>
    <w:rsid w:val="0048768E"/>
    <w:rsid w:val="004921A2"/>
    <w:rsid w:val="00497A3E"/>
    <w:rsid w:val="004A358F"/>
    <w:rsid w:val="004B09E3"/>
    <w:rsid w:val="004B0A2E"/>
    <w:rsid w:val="004B6BB0"/>
    <w:rsid w:val="004B6BF2"/>
    <w:rsid w:val="004C07D3"/>
    <w:rsid w:val="004C33AE"/>
    <w:rsid w:val="004C540C"/>
    <w:rsid w:val="004D1A58"/>
    <w:rsid w:val="004E1C69"/>
    <w:rsid w:val="004E7141"/>
    <w:rsid w:val="004F23E2"/>
    <w:rsid w:val="00501B21"/>
    <w:rsid w:val="00504244"/>
    <w:rsid w:val="005054B0"/>
    <w:rsid w:val="005111CD"/>
    <w:rsid w:val="00517153"/>
    <w:rsid w:val="00520498"/>
    <w:rsid w:val="00520B11"/>
    <w:rsid w:val="00520F69"/>
    <w:rsid w:val="005262BE"/>
    <w:rsid w:val="00537121"/>
    <w:rsid w:val="00544F00"/>
    <w:rsid w:val="00546AA8"/>
    <w:rsid w:val="00550AB8"/>
    <w:rsid w:val="00551C8C"/>
    <w:rsid w:val="00554CC7"/>
    <w:rsid w:val="00555D71"/>
    <w:rsid w:val="00561434"/>
    <w:rsid w:val="005615BA"/>
    <w:rsid w:val="00564F60"/>
    <w:rsid w:val="00566120"/>
    <w:rsid w:val="00571BA4"/>
    <w:rsid w:val="005731FD"/>
    <w:rsid w:val="005767BF"/>
    <w:rsid w:val="005810CD"/>
    <w:rsid w:val="00590744"/>
    <w:rsid w:val="00591A6D"/>
    <w:rsid w:val="00596DC9"/>
    <w:rsid w:val="005A0A6D"/>
    <w:rsid w:val="005A0B37"/>
    <w:rsid w:val="005B14DF"/>
    <w:rsid w:val="005B23DF"/>
    <w:rsid w:val="005B5362"/>
    <w:rsid w:val="005B6F5E"/>
    <w:rsid w:val="005C60CF"/>
    <w:rsid w:val="005D3BB6"/>
    <w:rsid w:val="005E2F8B"/>
    <w:rsid w:val="005E5C6A"/>
    <w:rsid w:val="005F2E9E"/>
    <w:rsid w:val="005F782F"/>
    <w:rsid w:val="005F7B85"/>
    <w:rsid w:val="00601849"/>
    <w:rsid w:val="00604AAB"/>
    <w:rsid w:val="0061358E"/>
    <w:rsid w:val="00622470"/>
    <w:rsid w:val="0062294A"/>
    <w:rsid w:val="00622DF9"/>
    <w:rsid w:val="00625954"/>
    <w:rsid w:val="00630D40"/>
    <w:rsid w:val="00634EB7"/>
    <w:rsid w:val="0063624C"/>
    <w:rsid w:val="006371FC"/>
    <w:rsid w:val="00640535"/>
    <w:rsid w:val="006433B7"/>
    <w:rsid w:val="00645130"/>
    <w:rsid w:val="006451D8"/>
    <w:rsid w:val="00645A72"/>
    <w:rsid w:val="00651CF1"/>
    <w:rsid w:val="00654CC1"/>
    <w:rsid w:val="0065770F"/>
    <w:rsid w:val="006607E8"/>
    <w:rsid w:val="00661CD0"/>
    <w:rsid w:val="00662EE3"/>
    <w:rsid w:val="00672D6B"/>
    <w:rsid w:val="00676194"/>
    <w:rsid w:val="00677E36"/>
    <w:rsid w:val="00682344"/>
    <w:rsid w:val="0069068E"/>
    <w:rsid w:val="00691123"/>
    <w:rsid w:val="00691CA0"/>
    <w:rsid w:val="00697826"/>
    <w:rsid w:val="006A066A"/>
    <w:rsid w:val="006A09A5"/>
    <w:rsid w:val="006A1844"/>
    <w:rsid w:val="006A29D2"/>
    <w:rsid w:val="006A4824"/>
    <w:rsid w:val="006B1FA0"/>
    <w:rsid w:val="006B2F2D"/>
    <w:rsid w:val="006C1DA6"/>
    <w:rsid w:val="006C7EA8"/>
    <w:rsid w:val="006D3662"/>
    <w:rsid w:val="006D73D2"/>
    <w:rsid w:val="006F3D98"/>
    <w:rsid w:val="006F552E"/>
    <w:rsid w:val="0070162F"/>
    <w:rsid w:val="007045D6"/>
    <w:rsid w:val="0070696B"/>
    <w:rsid w:val="007109F0"/>
    <w:rsid w:val="0071169B"/>
    <w:rsid w:val="007119D5"/>
    <w:rsid w:val="007126BF"/>
    <w:rsid w:val="007153EA"/>
    <w:rsid w:val="00716D8B"/>
    <w:rsid w:val="0072526A"/>
    <w:rsid w:val="00725406"/>
    <w:rsid w:val="0072671D"/>
    <w:rsid w:val="00727E40"/>
    <w:rsid w:val="0073330C"/>
    <w:rsid w:val="00736D32"/>
    <w:rsid w:val="00740A40"/>
    <w:rsid w:val="00750864"/>
    <w:rsid w:val="0075123F"/>
    <w:rsid w:val="007574F5"/>
    <w:rsid w:val="00761510"/>
    <w:rsid w:val="0076162A"/>
    <w:rsid w:val="00762040"/>
    <w:rsid w:val="0077264F"/>
    <w:rsid w:val="00776884"/>
    <w:rsid w:val="007768BF"/>
    <w:rsid w:val="0078198E"/>
    <w:rsid w:val="00783797"/>
    <w:rsid w:val="00787D18"/>
    <w:rsid w:val="0079495C"/>
    <w:rsid w:val="007A036D"/>
    <w:rsid w:val="007A5E97"/>
    <w:rsid w:val="007B708C"/>
    <w:rsid w:val="007C2090"/>
    <w:rsid w:val="007C415E"/>
    <w:rsid w:val="007C567C"/>
    <w:rsid w:val="007C63E3"/>
    <w:rsid w:val="007C67E8"/>
    <w:rsid w:val="007C774B"/>
    <w:rsid w:val="007D0CDD"/>
    <w:rsid w:val="007D1FAD"/>
    <w:rsid w:val="007E4E37"/>
    <w:rsid w:val="007F1355"/>
    <w:rsid w:val="007F1985"/>
    <w:rsid w:val="007F24DB"/>
    <w:rsid w:val="007F36E1"/>
    <w:rsid w:val="0080055C"/>
    <w:rsid w:val="00801780"/>
    <w:rsid w:val="008033ED"/>
    <w:rsid w:val="008036FB"/>
    <w:rsid w:val="00803FEA"/>
    <w:rsid w:val="00812BFB"/>
    <w:rsid w:val="008155BC"/>
    <w:rsid w:val="008354AF"/>
    <w:rsid w:val="00845027"/>
    <w:rsid w:val="00846B3D"/>
    <w:rsid w:val="00846D3D"/>
    <w:rsid w:val="00846F83"/>
    <w:rsid w:val="00853EEE"/>
    <w:rsid w:val="008616AA"/>
    <w:rsid w:val="00862361"/>
    <w:rsid w:val="008634B4"/>
    <w:rsid w:val="00867F16"/>
    <w:rsid w:val="00871CDC"/>
    <w:rsid w:val="0087242E"/>
    <w:rsid w:val="00874B07"/>
    <w:rsid w:val="008753B1"/>
    <w:rsid w:val="00882CEF"/>
    <w:rsid w:val="00884B7F"/>
    <w:rsid w:val="0088733E"/>
    <w:rsid w:val="00897362"/>
    <w:rsid w:val="008A7566"/>
    <w:rsid w:val="008B10AB"/>
    <w:rsid w:val="008B135D"/>
    <w:rsid w:val="008C0163"/>
    <w:rsid w:val="008C556C"/>
    <w:rsid w:val="008C5AFE"/>
    <w:rsid w:val="008C7B1D"/>
    <w:rsid w:val="008D2157"/>
    <w:rsid w:val="008D2CA9"/>
    <w:rsid w:val="008D426C"/>
    <w:rsid w:val="008E0220"/>
    <w:rsid w:val="008E1CCA"/>
    <w:rsid w:val="008E7B09"/>
    <w:rsid w:val="008F3019"/>
    <w:rsid w:val="00901191"/>
    <w:rsid w:val="00901629"/>
    <w:rsid w:val="00902BC5"/>
    <w:rsid w:val="00910324"/>
    <w:rsid w:val="009137D9"/>
    <w:rsid w:val="009222EA"/>
    <w:rsid w:val="00925D31"/>
    <w:rsid w:val="00932FB1"/>
    <w:rsid w:val="009353D7"/>
    <w:rsid w:val="0093573D"/>
    <w:rsid w:val="00944616"/>
    <w:rsid w:val="00946BC7"/>
    <w:rsid w:val="00954669"/>
    <w:rsid w:val="00954862"/>
    <w:rsid w:val="009609DF"/>
    <w:rsid w:val="009745EF"/>
    <w:rsid w:val="00974BF7"/>
    <w:rsid w:val="00980569"/>
    <w:rsid w:val="00986D5C"/>
    <w:rsid w:val="00990989"/>
    <w:rsid w:val="00992F3B"/>
    <w:rsid w:val="00993DFD"/>
    <w:rsid w:val="00997C88"/>
    <w:rsid w:val="009A28C4"/>
    <w:rsid w:val="009A35EF"/>
    <w:rsid w:val="009B046C"/>
    <w:rsid w:val="009B1006"/>
    <w:rsid w:val="009B33EE"/>
    <w:rsid w:val="009B79A6"/>
    <w:rsid w:val="009C1C4E"/>
    <w:rsid w:val="009C21F3"/>
    <w:rsid w:val="009C35CD"/>
    <w:rsid w:val="009C5675"/>
    <w:rsid w:val="009C648F"/>
    <w:rsid w:val="009D21BF"/>
    <w:rsid w:val="009D6A0F"/>
    <w:rsid w:val="009E64E8"/>
    <w:rsid w:val="009F18A7"/>
    <w:rsid w:val="009F3EE0"/>
    <w:rsid w:val="009F4D2F"/>
    <w:rsid w:val="009F7604"/>
    <w:rsid w:val="00A03C44"/>
    <w:rsid w:val="00A05524"/>
    <w:rsid w:val="00A05AFC"/>
    <w:rsid w:val="00A07657"/>
    <w:rsid w:val="00A15EED"/>
    <w:rsid w:val="00A20BF0"/>
    <w:rsid w:val="00A249B5"/>
    <w:rsid w:val="00A24AA7"/>
    <w:rsid w:val="00A26E13"/>
    <w:rsid w:val="00A40B40"/>
    <w:rsid w:val="00A431B7"/>
    <w:rsid w:val="00A52466"/>
    <w:rsid w:val="00A53018"/>
    <w:rsid w:val="00A543EE"/>
    <w:rsid w:val="00A54A11"/>
    <w:rsid w:val="00A5752C"/>
    <w:rsid w:val="00A603FB"/>
    <w:rsid w:val="00A6150F"/>
    <w:rsid w:val="00A6166C"/>
    <w:rsid w:val="00A6390A"/>
    <w:rsid w:val="00A6428E"/>
    <w:rsid w:val="00A64C1A"/>
    <w:rsid w:val="00A66EBD"/>
    <w:rsid w:val="00A739BA"/>
    <w:rsid w:val="00A7559A"/>
    <w:rsid w:val="00A8180E"/>
    <w:rsid w:val="00A83EB4"/>
    <w:rsid w:val="00A87093"/>
    <w:rsid w:val="00A93869"/>
    <w:rsid w:val="00A94623"/>
    <w:rsid w:val="00A94873"/>
    <w:rsid w:val="00A95C94"/>
    <w:rsid w:val="00A95F91"/>
    <w:rsid w:val="00AA2642"/>
    <w:rsid w:val="00AA28CE"/>
    <w:rsid w:val="00AA495F"/>
    <w:rsid w:val="00AA5E93"/>
    <w:rsid w:val="00AB02A7"/>
    <w:rsid w:val="00AB5B16"/>
    <w:rsid w:val="00AB7A48"/>
    <w:rsid w:val="00AC1782"/>
    <w:rsid w:val="00AC5252"/>
    <w:rsid w:val="00AC6202"/>
    <w:rsid w:val="00AD07F9"/>
    <w:rsid w:val="00AD3181"/>
    <w:rsid w:val="00AD58C3"/>
    <w:rsid w:val="00AE0AB3"/>
    <w:rsid w:val="00AE0F6C"/>
    <w:rsid w:val="00AE3CE4"/>
    <w:rsid w:val="00AE5666"/>
    <w:rsid w:val="00AE6451"/>
    <w:rsid w:val="00AF25F4"/>
    <w:rsid w:val="00AF62F3"/>
    <w:rsid w:val="00B04246"/>
    <w:rsid w:val="00B06008"/>
    <w:rsid w:val="00B06D07"/>
    <w:rsid w:val="00B07A52"/>
    <w:rsid w:val="00B166CE"/>
    <w:rsid w:val="00B221B5"/>
    <w:rsid w:val="00B24F8F"/>
    <w:rsid w:val="00B25287"/>
    <w:rsid w:val="00B263BC"/>
    <w:rsid w:val="00B35CDE"/>
    <w:rsid w:val="00B37C36"/>
    <w:rsid w:val="00B4147E"/>
    <w:rsid w:val="00B46501"/>
    <w:rsid w:val="00B47D64"/>
    <w:rsid w:val="00B53F16"/>
    <w:rsid w:val="00B579C7"/>
    <w:rsid w:val="00B6282F"/>
    <w:rsid w:val="00B62A86"/>
    <w:rsid w:val="00B63E92"/>
    <w:rsid w:val="00B655F8"/>
    <w:rsid w:val="00B67266"/>
    <w:rsid w:val="00B74319"/>
    <w:rsid w:val="00B74CA8"/>
    <w:rsid w:val="00B776A6"/>
    <w:rsid w:val="00B822BB"/>
    <w:rsid w:val="00B86BEF"/>
    <w:rsid w:val="00B87740"/>
    <w:rsid w:val="00B9167A"/>
    <w:rsid w:val="00B92A8A"/>
    <w:rsid w:val="00B940A2"/>
    <w:rsid w:val="00B9494D"/>
    <w:rsid w:val="00B96BB0"/>
    <w:rsid w:val="00BA0A69"/>
    <w:rsid w:val="00BA1165"/>
    <w:rsid w:val="00BA386A"/>
    <w:rsid w:val="00BA38E0"/>
    <w:rsid w:val="00BA480B"/>
    <w:rsid w:val="00BB1C9A"/>
    <w:rsid w:val="00BB2E75"/>
    <w:rsid w:val="00BB5875"/>
    <w:rsid w:val="00BC3104"/>
    <w:rsid w:val="00BC43E4"/>
    <w:rsid w:val="00BC71DD"/>
    <w:rsid w:val="00BE15B2"/>
    <w:rsid w:val="00BE7420"/>
    <w:rsid w:val="00BF2F0B"/>
    <w:rsid w:val="00BF3DB0"/>
    <w:rsid w:val="00BF3F91"/>
    <w:rsid w:val="00BF5CCF"/>
    <w:rsid w:val="00C02A1C"/>
    <w:rsid w:val="00C03823"/>
    <w:rsid w:val="00C043E7"/>
    <w:rsid w:val="00C064AD"/>
    <w:rsid w:val="00C105E1"/>
    <w:rsid w:val="00C113AC"/>
    <w:rsid w:val="00C12861"/>
    <w:rsid w:val="00C1287E"/>
    <w:rsid w:val="00C1759D"/>
    <w:rsid w:val="00C20C70"/>
    <w:rsid w:val="00C22214"/>
    <w:rsid w:val="00C2574F"/>
    <w:rsid w:val="00C32103"/>
    <w:rsid w:val="00C33D4B"/>
    <w:rsid w:val="00C34F4B"/>
    <w:rsid w:val="00C414BF"/>
    <w:rsid w:val="00C45831"/>
    <w:rsid w:val="00C461D2"/>
    <w:rsid w:val="00C4737B"/>
    <w:rsid w:val="00C51DB9"/>
    <w:rsid w:val="00C5697A"/>
    <w:rsid w:val="00C57230"/>
    <w:rsid w:val="00C61350"/>
    <w:rsid w:val="00C6222D"/>
    <w:rsid w:val="00C62634"/>
    <w:rsid w:val="00C701E1"/>
    <w:rsid w:val="00C70DB0"/>
    <w:rsid w:val="00C722B9"/>
    <w:rsid w:val="00C765B3"/>
    <w:rsid w:val="00C77F2A"/>
    <w:rsid w:val="00C81740"/>
    <w:rsid w:val="00C81C11"/>
    <w:rsid w:val="00C83AB4"/>
    <w:rsid w:val="00C847CE"/>
    <w:rsid w:val="00C939CA"/>
    <w:rsid w:val="00CA1F9F"/>
    <w:rsid w:val="00CA25C5"/>
    <w:rsid w:val="00CA2DEE"/>
    <w:rsid w:val="00CA38D6"/>
    <w:rsid w:val="00CB21F7"/>
    <w:rsid w:val="00CB2AB8"/>
    <w:rsid w:val="00CB5725"/>
    <w:rsid w:val="00CB7361"/>
    <w:rsid w:val="00CC373B"/>
    <w:rsid w:val="00CC4888"/>
    <w:rsid w:val="00CD3A68"/>
    <w:rsid w:val="00CD3BB2"/>
    <w:rsid w:val="00CD4F71"/>
    <w:rsid w:val="00CD57F9"/>
    <w:rsid w:val="00CD586F"/>
    <w:rsid w:val="00CD5BB2"/>
    <w:rsid w:val="00CD5C4A"/>
    <w:rsid w:val="00CF2344"/>
    <w:rsid w:val="00D03E03"/>
    <w:rsid w:val="00D04F47"/>
    <w:rsid w:val="00D0722A"/>
    <w:rsid w:val="00D14D72"/>
    <w:rsid w:val="00D1626E"/>
    <w:rsid w:val="00D174F5"/>
    <w:rsid w:val="00D2299B"/>
    <w:rsid w:val="00D26891"/>
    <w:rsid w:val="00D26FD6"/>
    <w:rsid w:val="00D318BB"/>
    <w:rsid w:val="00D3252C"/>
    <w:rsid w:val="00D35109"/>
    <w:rsid w:val="00D35C27"/>
    <w:rsid w:val="00D3722B"/>
    <w:rsid w:val="00D53142"/>
    <w:rsid w:val="00D54DDF"/>
    <w:rsid w:val="00D56302"/>
    <w:rsid w:val="00D62283"/>
    <w:rsid w:val="00D67B3A"/>
    <w:rsid w:val="00D703E3"/>
    <w:rsid w:val="00D72E5C"/>
    <w:rsid w:val="00D7344F"/>
    <w:rsid w:val="00D74915"/>
    <w:rsid w:val="00D74CCF"/>
    <w:rsid w:val="00D76154"/>
    <w:rsid w:val="00D80AA7"/>
    <w:rsid w:val="00D81AE0"/>
    <w:rsid w:val="00D8467A"/>
    <w:rsid w:val="00D87E06"/>
    <w:rsid w:val="00D92F47"/>
    <w:rsid w:val="00D93CD5"/>
    <w:rsid w:val="00D93F3F"/>
    <w:rsid w:val="00DA1560"/>
    <w:rsid w:val="00DA51BB"/>
    <w:rsid w:val="00DB07E0"/>
    <w:rsid w:val="00DB36D7"/>
    <w:rsid w:val="00DB7386"/>
    <w:rsid w:val="00DC42B6"/>
    <w:rsid w:val="00DC6CC4"/>
    <w:rsid w:val="00DC7631"/>
    <w:rsid w:val="00DD0F07"/>
    <w:rsid w:val="00DD1DB2"/>
    <w:rsid w:val="00DD1FF9"/>
    <w:rsid w:val="00DE62E9"/>
    <w:rsid w:val="00DE6661"/>
    <w:rsid w:val="00DE779A"/>
    <w:rsid w:val="00DF17EE"/>
    <w:rsid w:val="00DF203E"/>
    <w:rsid w:val="00DF49BD"/>
    <w:rsid w:val="00E012AD"/>
    <w:rsid w:val="00E04AC4"/>
    <w:rsid w:val="00E14096"/>
    <w:rsid w:val="00E14E45"/>
    <w:rsid w:val="00E21245"/>
    <w:rsid w:val="00E231EC"/>
    <w:rsid w:val="00E2473F"/>
    <w:rsid w:val="00E25B36"/>
    <w:rsid w:val="00E33AB2"/>
    <w:rsid w:val="00E346F8"/>
    <w:rsid w:val="00E37DDA"/>
    <w:rsid w:val="00E43689"/>
    <w:rsid w:val="00E54F48"/>
    <w:rsid w:val="00E56C7C"/>
    <w:rsid w:val="00E612B6"/>
    <w:rsid w:val="00E62E50"/>
    <w:rsid w:val="00E724BE"/>
    <w:rsid w:val="00E76501"/>
    <w:rsid w:val="00E8076D"/>
    <w:rsid w:val="00E82BDD"/>
    <w:rsid w:val="00E95891"/>
    <w:rsid w:val="00EA4625"/>
    <w:rsid w:val="00EB691C"/>
    <w:rsid w:val="00EC1CF8"/>
    <w:rsid w:val="00EC2207"/>
    <w:rsid w:val="00EC60B2"/>
    <w:rsid w:val="00EC7CC5"/>
    <w:rsid w:val="00ED044D"/>
    <w:rsid w:val="00ED23F8"/>
    <w:rsid w:val="00ED4378"/>
    <w:rsid w:val="00ED5834"/>
    <w:rsid w:val="00EE1062"/>
    <w:rsid w:val="00EE3BD1"/>
    <w:rsid w:val="00EE5FC6"/>
    <w:rsid w:val="00EE684B"/>
    <w:rsid w:val="00EF2447"/>
    <w:rsid w:val="00EF2AA4"/>
    <w:rsid w:val="00EF4F07"/>
    <w:rsid w:val="00F00F5C"/>
    <w:rsid w:val="00F04618"/>
    <w:rsid w:val="00F051EA"/>
    <w:rsid w:val="00F11428"/>
    <w:rsid w:val="00F219B1"/>
    <w:rsid w:val="00F308A6"/>
    <w:rsid w:val="00F30E79"/>
    <w:rsid w:val="00F330E2"/>
    <w:rsid w:val="00F348AC"/>
    <w:rsid w:val="00F37247"/>
    <w:rsid w:val="00F37468"/>
    <w:rsid w:val="00F40991"/>
    <w:rsid w:val="00F439AE"/>
    <w:rsid w:val="00F4599E"/>
    <w:rsid w:val="00F50386"/>
    <w:rsid w:val="00F53581"/>
    <w:rsid w:val="00F5588F"/>
    <w:rsid w:val="00F56040"/>
    <w:rsid w:val="00F6163A"/>
    <w:rsid w:val="00F6226A"/>
    <w:rsid w:val="00F71709"/>
    <w:rsid w:val="00F75307"/>
    <w:rsid w:val="00F81B40"/>
    <w:rsid w:val="00F81DD3"/>
    <w:rsid w:val="00F82DF6"/>
    <w:rsid w:val="00F90C9C"/>
    <w:rsid w:val="00F9323F"/>
    <w:rsid w:val="00F93FE2"/>
    <w:rsid w:val="00F94C04"/>
    <w:rsid w:val="00FA7458"/>
    <w:rsid w:val="00FC2018"/>
    <w:rsid w:val="00FC32CE"/>
    <w:rsid w:val="00FC514D"/>
    <w:rsid w:val="00FD13FA"/>
    <w:rsid w:val="00FD6682"/>
    <w:rsid w:val="00FE4BAE"/>
    <w:rsid w:val="00FE61D4"/>
    <w:rsid w:val="00FE7A10"/>
    <w:rsid w:val="00FF02E1"/>
    <w:rsid w:val="00FF2413"/>
    <w:rsid w:val="00FF7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9E573"/>
  <w15:docId w15:val="{2F56FCC0-FBD8-4653-9061-C6CD1DE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D07F9"/>
    <w:pPr>
      <w:outlineLvl w:val="1"/>
    </w:pPr>
    <w:rPr>
      <w:rFonts w:ascii="Arial" w:hAnsi="Arial" w:cs="Arial"/>
      <w:b/>
      <w:sz w:val="28"/>
      <w:szCs w:val="28"/>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35CD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5CDE"/>
    <w:rPr>
      <w:rFonts w:ascii="Lucida Grande" w:hAnsi="Lucida Grande" w:cs="Lucida Grande"/>
      <w:sz w:val="18"/>
      <w:szCs w:val="18"/>
    </w:rPr>
  </w:style>
  <w:style w:type="character" w:styleId="Hyperlink">
    <w:name w:val="Hyperlink"/>
    <w:basedOn w:val="Absatz-Standardschriftart"/>
    <w:uiPriority w:val="99"/>
    <w:unhideWhenUsed/>
    <w:rsid w:val="00B35CDE"/>
    <w:rPr>
      <w:color w:val="0000FF" w:themeColor="hyperlink"/>
      <w:u w:val="single"/>
    </w:rPr>
  </w:style>
  <w:style w:type="paragraph" w:styleId="Listenabsatz">
    <w:name w:val="List Paragraph"/>
    <w:basedOn w:val="Standard"/>
    <w:uiPriority w:val="34"/>
    <w:qFormat/>
    <w:rsid w:val="00B35CDE"/>
    <w:pPr>
      <w:ind w:left="720"/>
      <w:contextualSpacing/>
    </w:pPr>
  </w:style>
  <w:style w:type="paragraph" w:styleId="Kopfzeile">
    <w:name w:val="header"/>
    <w:basedOn w:val="Standard"/>
    <w:link w:val="KopfzeileZchn"/>
    <w:uiPriority w:val="99"/>
    <w:unhideWhenUsed/>
    <w:rsid w:val="00B62A86"/>
    <w:pPr>
      <w:tabs>
        <w:tab w:val="center" w:pos="4536"/>
        <w:tab w:val="right" w:pos="9072"/>
      </w:tabs>
    </w:pPr>
  </w:style>
  <w:style w:type="character" w:customStyle="1" w:styleId="KopfzeileZchn">
    <w:name w:val="Kopfzeile Zchn"/>
    <w:basedOn w:val="Absatz-Standardschriftart"/>
    <w:link w:val="Kopfzeile"/>
    <w:uiPriority w:val="99"/>
    <w:rsid w:val="00B62A86"/>
  </w:style>
  <w:style w:type="paragraph" w:styleId="Fuzeile">
    <w:name w:val="footer"/>
    <w:basedOn w:val="Standard"/>
    <w:link w:val="FuzeileZchn"/>
    <w:uiPriority w:val="99"/>
    <w:unhideWhenUsed/>
    <w:rsid w:val="00B62A86"/>
    <w:pPr>
      <w:tabs>
        <w:tab w:val="center" w:pos="4536"/>
        <w:tab w:val="right" w:pos="9072"/>
      </w:tabs>
    </w:pPr>
  </w:style>
  <w:style w:type="character" w:customStyle="1" w:styleId="FuzeileZchn">
    <w:name w:val="Fußzeile Zchn"/>
    <w:basedOn w:val="Absatz-Standardschriftart"/>
    <w:link w:val="Fuzeile"/>
    <w:uiPriority w:val="99"/>
    <w:rsid w:val="00B62A86"/>
  </w:style>
  <w:style w:type="character" w:styleId="Kommentarzeichen">
    <w:name w:val="annotation reference"/>
    <w:basedOn w:val="Absatz-Standardschriftart"/>
    <w:uiPriority w:val="99"/>
    <w:semiHidden/>
    <w:unhideWhenUsed/>
    <w:rsid w:val="00CD3A68"/>
    <w:rPr>
      <w:sz w:val="16"/>
      <w:szCs w:val="16"/>
    </w:rPr>
  </w:style>
  <w:style w:type="paragraph" w:styleId="Kommentartext">
    <w:name w:val="annotation text"/>
    <w:basedOn w:val="Standard"/>
    <w:link w:val="KommentartextZchn"/>
    <w:uiPriority w:val="99"/>
    <w:unhideWhenUsed/>
    <w:rsid w:val="00CD3A68"/>
    <w:rPr>
      <w:sz w:val="20"/>
      <w:szCs w:val="20"/>
    </w:rPr>
  </w:style>
  <w:style w:type="character" w:customStyle="1" w:styleId="KommentartextZchn">
    <w:name w:val="Kommentartext Zchn"/>
    <w:basedOn w:val="Absatz-Standardschriftart"/>
    <w:link w:val="Kommentartext"/>
    <w:uiPriority w:val="99"/>
    <w:rsid w:val="00CD3A68"/>
    <w:rPr>
      <w:sz w:val="20"/>
      <w:szCs w:val="20"/>
    </w:rPr>
  </w:style>
  <w:style w:type="paragraph" w:styleId="Kommentarthema">
    <w:name w:val="annotation subject"/>
    <w:basedOn w:val="Kommentartext"/>
    <w:next w:val="Kommentartext"/>
    <w:link w:val="KommentarthemaZchn"/>
    <w:uiPriority w:val="99"/>
    <w:semiHidden/>
    <w:unhideWhenUsed/>
    <w:rsid w:val="00CD3A68"/>
    <w:rPr>
      <w:b/>
      <w:bCs/>
    </w:rPr>
  </w:style>
  <w:style w:type="character" w:customStyle="1" w:styleId="KommentarthemaZchn">
    <w:name w:val="Kommentarthema Zchn"/>
    <w:basedOn w:val="KommentartextZchn"/>
    <w:link w:val="Kommentarthema"/>
    <w:uiPriority w:val="99"/>
    <w:semiHidden/>
    <w:rsid w:val="00CD3A68"/>
    <w:rPr>
      <w:b/>
      <w:bCs/>
      <w:sz w:val="20"/>
      <w:szCs w:val="20"/>
    </w:rPr>
  </w:style>
  <w:style w:type="paragraph" w:styleId="StandardWeb">
    <w:name w:val="Normal (Web)"/>
    <w:basedOn w:val="Standard"/>
    <w:uiPriority w:val="99"/>
    <w:unhideWhenUsed/>
    <w:rsid w:val="00AA495F"/>
    <w:rPr>
      <w:rFonts w:ascii="Times New Roman" w:eastAsiaTheme="minorHAnsi" w:hAnsi="Times New Roman" w:cs="Times New Roman"/>
      <w:lang w:val="de-AT" w:eastAsia="de-AT"/>
    </w:rPr>
  </w:style>
  <w:style w:type="character" w:customStyle="1" w:styleId="berschrift2Zchn">
    <w:name w:val="Überschrift 2 Zchn"/>
    <w:basedOn w:val="Absatz-Standardschriftart"/>
    <w:link w:val="berschrift2"/>
    <w:uiPriority w:val="9"/>
    <w:rsid w:val="00AD07F9"/>
    <w:rPr>
      <w:rFonts w:ascii="Arial" w:hAnsi="Arial" w:cs="Arial"/>
      <w:b/>
      <w:sz w:val="28"/>
      <w:szCs w:val="28"/>
      <w:lang w:val="de-AT"/>
    </w:rPr>
  </w:style>
  <w:style w:type="character" w:styleId="Fett">
    <w:name w:val="Strong"/>
    <w:uiPriority w:val="22"/>
    <w:qFormat/>
    <w:rsid w:val="00AD07F9"/>
    <w:rPr>
      <w:rFonts w:ascii="Arial" w:hAnsi="Arial" w:cs="Arial"/>
      <w:b/>
      <w:sz w:val="20"/>
      <w:szCs w:val="20"/>
      <w:lang w:val="de-AT"/>
    </w:rPr>
  </w:style>
  <w:style w:type="character" w:styleId="NichtaufgelsteErwhnung">
    <w:name w:val="Unresolved Mention"/>
    <w:basedOn w:val="Absatz-Standardschriftart"/>
    <w:uiPriority w:val="99"/>
    <w:semiHidden/>
    <w:unhideWhenUsed/>
    <w:rsid w:val="006C1DA6"/>
    <w:rPr>
      <w:color w:val="605E5C"/>
      <w:shd w:val="clear" w:color="auto" w:fill="E1DFDD"/>
    </w:rPr>
  </w:style>
  <w:style w:type="character" w:styleId="BesuchterLink">
    <w:name w:val="FollowedHyperlink"/>
    <w:basedOn w:val="Absatz-Standardschriftart"/>
    <w:uiPriority w:val="99"/>
    <w:semiHidden/>
    <w:unhideWhenUsed/>
    <w:rsid w:val="00DE6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2838">
      <w:bodyDiv w:val="1"/>
      <w:marLeft w:val="0"/>
      <w:marRight w:val="0"/>
      <w:marTop w:val="0"/>
      <w:marBottom w:val="0"/>
      <w:divBdr>
        <w:top w:val="none" w:sz="0" w:space="0" w:color="auto"/>
        <w:left w:val="none" w:sz="0" w:space="0" w:color="auto"/>
        <w:bottom w:val="none" w:sz="0" w:space="0" w:color="auto"/>
        <w:right w:val="none" w:sz="0" w:space="0" w:color="auto"/>
      </w:divBdr>
    </w:div>
    <w:div w:id="81689185">
      <w:bodyDiv w:val="1"/>
      <w:marLeft w:val="0"/>
      <w:marRight w:val="0"/>
      <w:marTop w:val="0"/>
      <w:marBottom w:val="0"/>
      <w:divBdr>
        <w:top w:val="none" w:sz="0" w:space="0" w:color="auto"/>
        <w:left w:val="none" w:sz="0" w:space="0" w:color="auto"/>
        <w:bottom w:val="none" w:sz="0" w:space="0" w:color="auto"/>
        <w:right w:val="none" w:sz="0" w:space="0" w:color="auto"/>
      </w:divBdr>
    </w:div>
    <w:div w:id="137233397">
      <w:bodyDiv w:val="1"/>
      <w:marLeft w:val="0"/>
      <w:marRight w:val="0"/>
      <w:marTop w:val="0"/>
      <w:marBottom w:val="0"/>
      <w:divBdr>
        <w:top w:val="none" w:sz="0" w:space="0" w:color="auto"/>
        <w:left w:val="none" w:sz="0" w:space="0" w:color="auto"/>
        <w:bottom w:val="none" w:sz="0" w:space="0" w:color="auto"/>
        <w:right w:val="none" w:sz="0" w:space="0" w:color="auto"/>
      </w:divBdr>
    </w:div>
    <w:div w:id="151678134">
      <w:bodyDiv w:val="1"/>
      <w:marLeft w:val="0"/>
      <w:marRight w:val="0"/>
      <w:marTop w:val="0"/>
      <w:marBottom w:val="0"/>
      <w:divBdr>
        <w:top w:val="none" w:sz="0" w:space="0" w:color="auto"/>
        <w:left w:val="none" w:sz="0" w:space="0" w:color="auto"/>
        <w:bottom w:val="none" w:sz="0" w:space="0" w:color="auto"/>
        <w:right w:val="none" w:sz="0" w:space="0" w:color="auto"/>
      </w:divBdr>
      <w:divsChild>
        <w:div w:id="1849101285">
          <w:marLeft w:val="547"/>
          <w:marRight w:val="0"/>
          <w:marTop w:val="82"/>
          <w:marBottom w:val="0"/>
          <w:divBdr>
            <w:top w:val="none" w:sz="0" w:space="0" w:color="auto"/>
            <w:left w:val="none" w:sz="0" w:space="0" w:color="auto"/>
            <w:bottom w:val="none" w:sz="0" w:space="0" w:color="auto"/>
            <w:right w:val="none" w:sz="0" w:space="0" w:color="auto"/>
          </w:divBdr>
        </w:div>
        <w:div w:id="204564931">
          <w:marLeft w:val="547"/>
          <w:marRight w:val="0"/>
          <w:marTop w:val="82"/>
          <w:marBottom w:val="0"/>
          <w:divBdr>
            <w:top w:val="none" w:sz="0" w:space="0" w:color="auto"/>
            <w:left w:val="none" w:sz="0" w:space="0" w:color="auto"/>
            <w:bottom w:val="none" w:sz="0" w:space="0" w:color="auto"/>
            <w:right w:val="none" w:sz="0" w:space="0" w:color="auto"/>
          </w:divBdr>
        </w:div>
        <w:div w:id="452402885">
          <w:marLeft w:val="547"/>
          <w:marRight w:val="0"/>
          <w:marTop w:val="82"/>
          <w:marBottom w:val="0"/>
          <w:divBdr>
            <w:top w:val="none" w:sz="0" w:space="0" w:color="auto"/>
            <w:left w:val="none" w:sz="0" w:space="0" w:color="auto"/>
            <w:bottom w:val="none" w:sz="0" w:space="0" w:color="auto"/>
            <w:right w:val="none" w:sz="0" w:space="0" w:color="auto"/>
          </w:divBdr>
        </w:div>
      </w:divsChild>
    </w:div>
    <w:div w:id="572282488">
      <w:bodyDiv w:val="1"/>
      <w:marLeft w:val="0"/>
      <w:marRight w:val="0"/>
      <w:marTop w:val="0"/>
      <w:marBottom w:val="0"/>
      <w:divBdr>
        <w:top w:val="none" w:sz="0" w:space="0" w:color="auto"/>
        <w:left w:val="none" w:sz="0" w:space="0" w:color="auto"/>
        <w:bottom w:val="none" w:sz="0" w:space="0" w:color="auto"/>
        <w:right w:val="none" w:sz="0" w:space="0" w:color="auto"/>
      </w:divBdr>
    </w:div>
    <w:div w:id="719746796">
      <w:bodyDiv w:val="1"/>
      <w:marLeft w:val="0"/>
      <w:marRight w:val="0"/>
      <w:marTop w:val="0"/>
      <w:marBottom w:val="0"/>
      <w:divBdr>
        <w:top w:val="none" w:sz="0" w:space="0" w:color="auto"/>
        <w:left w:val="none" w:sz="0" w:space="0" w:color="auto"/>
        <w:bottom w:val="none" w:sz="0" w:space="0" w:color="auto"/>
        <w:right w:val="none" w:sz="0" w:space="0" w:color="auto"/>
      </w:divBdr>
    </w:div>
    <w:div w:id="810439472">
      <w:bodyDiv w:val="1"/>
      <w:marLeft w:val="0"/>
      <w:marRight w:val="0"/>
      <w:marTop w:val="0"/>
      <w:marBottom w:val="0"/>
      <w:divBdr>
        <w:top w:val="none" w:sz="0" w:space="0" w:color="auto"/>
        <w:left w:val="none" w:sz="0" w:space="0" w:color="auto"/>
        <w:bottom w:val="none" w:sz="0" w:space="0" w:color="auto"/>
        <w:right w:val="none" w:sz="0" w:space="0" w:color="auto"/>
      </w:divBdr>
    </w:div>
    <w:div w:id="837502729">
      <w:bodyDiv w:val="1"/>
      <w:marLeft w:val="0"/>
      <w:marRight w:val="0"/>
      <w:marTop w:val="0"/>
      <w:marBottom w:val="0"/>
      <w:divBdr>
        <w:top w:val="none" w:sz="0" w:space="0" w:color="auto"/>
        <w:left w:val="none" w:sz="0" w:space="0" w:color="auto"/>
        <w:bottom w:val="none" w:sz="0" w:space="0" w:color="auto"/>
        <w:right w:val="none" w:sz="0" w:space="0" w:color="auto"/>
      </w:divBdr>
    </w:div>
    <w:div w:id="869031863">
      <w:bodyDiv w:val="1"/>
      <w:marLeft w:val="0"/>
      <w:marRight w:val="0"/>
      <w:marTop w:val="0"/>
      <w:marBottom w:val="0"/>
      <w:divBdr>
        <w:top w:val="none" w:sz="0" w:space="0" w:color="auto"/>
        <w:left w:val="none" w:sz="0" w:space="0" w:color="auto"/>
        <w:bottom w:val="none" w:sz="0" w:space="0" w:color="auto"/>
        <w:right w:val="none" w:sz="0" w:space="0" w:color="auto"/>
      </w:divBdr>
    </w:div>
    <w:div w:id="937251593">
      <w:bodyDiv w:val="1"/>
      <w:marLeft w:val="0"/>
      <w:marRight w:val="0"/>
      <w:marTop w:val="0"/>
      <w:marBottom w:val="0"/>
      <w:divBdr>
        <w:top w:val="none" w:sz="0" w:space="0" w:color="auto"/>
        <w:left w:val="none" w:sz="0" w:space="0" w:color="auto"/>
        <w:bottom w:val="none" w:sz="0" w:space="0" w:color="auto"/>
        <w:right w:val="none" w:sz="0" w:space="0" w:color="auto"/>
      </w:divBdr>
    </w:div>
    <w:div w:id="1013334780">
      <w:bodyDiv w:val="1"/>
      <w:marLeft w:val="0"/>
      <w:marRight w:val="0"/>
      <w:marTop w:val="0"/>
      <w:marBottom w:val="0"/>
      <w:divBdr>
        <w:top w:val="none" w:sz="0" w:space="0" w:color="auto"/>
        <w:left w:val="none" w:sz="0" w:space="0" w:color="auto"/>
        <w:bottom w:val="none" w:sz="0" w:space="0" w:color="auto"/>
        <w:right w:val="none" w:sz="0" w:space="0" w:color="auto"/>
      </w:divBdr>
    </w:div>
    <w:div w:id="1036351440">
      <w:bodyDiv w:val="1"/>
      <w:marLeft w:val="0"/>
      <w:marRight w:val="0"/>
      <w:marTop w:val="0"/>
      <w:marBottom w:val="0"/>
      <w:divBdr>
        <w:top w:val="none" w:sz="0" w:space="0" w:color="auto"/>
        <w:left w:val="none" w:sz="0" w:space="0" w:color="auto"/>
        <w:bottom w:val="none" w:sz="0" w:space="0" w:color="auto"/>
        <w:right w:val="none" w:sz="0" w:space="0" w:color="auto"/>
      </w:divBdr>
    </w:div>
    <w:div w:id="1086878939">
      <w:bodyDiv w:val="1"/>
      <w:marLeft w:val="0"/>
      <w:marRight w:val="0"/>
      <w:marTop w:val="0"/>
      <w:marBottom w:val="0"/>
      <w:divBdr>
        <w:top w:val="none" w:sz="0" w:space="0" w:color="auto"/>
        <w:left w:val="none" w:sz="0" w:space="0" w:color="auto"/>
        <w:bottom w:val="none" w:sz="0" w:space="0" w:color="auto"/>
        <w:right w:val="none" w:sz="0" w:space="0" w:color="auto"/>
      </w:divBdr>
    </w:div>
    <w:div w:id="1107503332">
      <w:bodyDiv w:val="1"/>
      <w:marLeft w:val="0"/>
      <w:marRight w:val="0"/>
      <w:marTop w:val="0"/>
      <w:marBottom w:val="0"/>
      <w:divBdr>
        <w:top w:val="none" w:sz="0" w:space="0" w:color="auto"/>
        <w:left w:val="none" w:sz="0" w:space="0" w:color="auto"/>
        <w:bottom w:val="none" w:sz="0" w:space="0" w:color="auto"/>
        <w:right w:val="none" w:sz="0" w:space="0" w:color="auto"/>
      </w:divBdr>
    </w:div>
    <w:div w:id="1335189390">
      <w:bodyDiv w:val="1"/>
      <w:marLeft w:val="0"/>
      <w:marRight w:val="0"/>
      <w:marTop w:val="0"/>
      <w:marBottom w:val="0"/>
      <w:divBdr>
        <w:top w:val="none" w:sz="0" w:space="0" w:color="auto"/>
        <w:left w:val="none" w:sz="0" w:space="0" w:color="auto"/>
        <w:bottom w:val="none" w:sz="0" w:space="0" w:color="auto"/>
        <w:right w:val="none" w:sz="0" w:space="0" w:color="auto"/>
      </w:divBdr>
    </w:div>
    <w:div w:id="1472480035">
      <w:bodyDiv w:val="1"/>
      <w:marLeft w:val="0"/>
      <w:marRight w:val="0"/>
      <w:marTop w:val="0"/>
      <w:marBottom w:val="0"/>
      <w:divBdr>
        <w:top w:val="none" w:sz="0" w:space="0" w:color="auto"/>
        <w:left w:val="none" w:sz="0" w:space="0" w:color="auto"/>
        <w:bottom w:val="none" w:sz="0" w:space="0" w:color="auto"/>
        <w:right w:val="none" w:sz="0" w:space="0" w:color="auto"/>
      </w:divBdr>
    </w:div>
    <w:div w:id="1501652100">
      <w:bodyDiv w:val="1"/>
      <w:marLeft w:val="0"/>
      <w:marRight w:val="0"/>
      <w:marTop w:val="0"/>
      <w:marBottom w:val="0"/>
      <w:divBdr>
        <w:top w:val="none" w:sz="0" w:space="0" w:color="auto"/>
        <w:left w:val="none" w:sz="0" w:space="0" w:color="auto"/>
        <w:bottom w:val="none" w:sz="0" w:space="0" w:color="auto"/>
        <w:right w:val="none" w:sz="0" w:space="0" w:color="auto"/>
      </w:divBdr>
    </w:div>
    <w:div w:id="1518231214">
      <w:bodyDiv w:val="1"/>
      <w:marLeft w:val="0"/>
      <w:marRight w:val="0"/>
      <w:marTop w:val="0"/>
      <w:marBottom w:val="0"/>
      <w:divBdr>
        <w:top w:val="none" w:sz="0" w:space="0" w:color="auto"/>
        <w:left w:val="none" w:sz="0" w:space="0" w:color="auto"/>
        <w:bottom w:val="none" w:sz="0" w:space="0" w:color="auto"/>
        <w:right w:val="none" w:sz="0" w:space="0" w:color="auto"/>
      </w:divBdr>
    </w:div>
    <w:div w:id="1544754369">
      <w:bodyDiv w:val="1"/>
      <w:marLeft w:val="0"/>
      <w:marRight w:val="0"/>
      <w:marTop w:val="0"/>
      <w:marBottom w:val="0"/>
      <w:divBdr>
        <w:top w:val="none" w:sz="0" w:space="0" w:color="auto"/>
        <w:left w:val="none" w:sz="0" w:space="0" w:color="auto"/>
        <w:bottom w:val="none" w:sz="0" w:space="0" w:color="auto"/>
        <w:right w:val="none" w:sz="0" w:space="0" w:color="auto"/>
      </w:divBdr>
      <w:divsChild>
        <w:div w:id="1673408281">
          <w:marLeft w:val="0"/>
          <w:marRight w:val="0"/>
          <w:marTop w:val="0"/>
          <w:marBottom w:val="0"/>
          <w:divBdr>
            <w:top w:val="none" w:sz="0" w:space="0" w:color="auto"/>
            <w:left w:val="none" w:sz="0" w:space="0" w:color="auto"/>
            <w:bottom w:val="none" w:sz="0" w:space="0" w:color="auto"/>
            <w:right w:val="none" w:sz="0" w:space="0" w:color="auto"/>
          </w:divBdr>
          <w:divsChild>
            <w:div w:id="4800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4447">
      <w:bodyDiv w:val="1"/>
      <w:marLeft w:val="0"/>
      <w:marRight w:val="0"/>
      <w:marTop w:val="0"/>
      <w:marBottom w:val="0"/>
      <w:divBdr>
        <w:top w:val="none" w:sz="0" w:space="0" w:color="auto"/>
        <w:left w:val="none" w:sz="0" w:space="0" w:color="auto"/>
        <w:bottom w:val="none" w:sz="0" w:space="0" w:color="auto"/>
        <w:right w:val="none" w:sz="0" w:space="0" w:color="auto"/>
      </w:divBdr>
    </w:div>
    <w:div w:id="1761170506">
      <w:bodyDiv w:val="1"/>
      <w:marLeft w:val="0"/>
      <w:marRight w:val="0"/>
      <w:marTop w:val="0"/>
      <w:marBottom w:val="0"/>
      <w:divBdr>
        <w:top w:val="none" w:sz="0" w:space="0" w:color="auto"/>
        <w:left w:val="none" w:sz="0" w:space="0" w:color="auto"/>
        <w:bottom w:val="none" w:sz="0" w:space="0" w:color="auto"/>
        <w:right w:val="none" w:sz="0" w:space="0" w:color="auto"/>
      </w:divBdr>
    </w:div>
    <w:div w:id="1803379625">
      <w:bodyDiv w:val="1"/>
      <w:marLeft w:val="0"/>
      <w:marRight w:val="0"/>
      <w:marTop w:val="0"/>
      <w:marBottom w:val="0"/>
      <w:divBdr>
        <w:top w:val="none" w:sz="0" w:space="0" w:color="auto"/>
        <w:left w:val="none" w:sz="0" w:space="0" w:color="auto"/>
        <w:bottom w:val="none" w:sz="0" w:space="0" w:color="auto"/>
        <w:right w:val="none" w:sz="0" w:space="0" w:color="auto"/>
      </w:divBdr>
    </w:div>
    <w:div w:id="1856915660">
      <w:bodyDiv w:val="1"/>
      <w:marLeft w:val="0"/>
      <w:marRight w:val="0"/>
      <w:marTop w:val="0"/>
      <w:marBottom w:val="0"/>
      <w:divBdr>
        <w:top w:val="none" w:sz="0" w:space="0" w:color="auto"/>
        <w:left w:val="none" w:sz="0" w:space="0" w:color="auto"/>
        <w:bottom w:val="none" w:sz="0" w:space="0" w:color="auto"/>
        <w:right w:val="none" w:sz="0" w:space="0" w:color="auto"/>
      </w:divBdr>
    </w:div>
    <w:div w:id="1865096753">
      <w:bodyDiv w:val="1"/>
      <w:marLeft w:val="0"/>
      <w:marRight w:val="0"/>
      <w:marTop w:val="0"/>
      <w:marBottom w:val="0"/>
      <w:divBdr>
        <w:top w:val="none" w:sz="0" w:space="0" w:color="auto"/>
        <w:left w:val="none" w:sz="0" w:space="0" w:color="auto"/>
        <w:bottom w:val="none" w:sz="0" w:space="0" w:color="auto"/>
        <w:right w:val="none" w:sz="0" w:space="0" w:color="auto"/>
      </w:divBdr>
    </w:div>
    <w:div w:id="1893496124">
      <w:bodyDiv w:val="1"/>
      <w:marLeft w:val="0"/>
      <w:marRight w:val="0"/>
      <w:marTop w:val="0"/>
      <w:marBottom w:val="0"/>
      <w:divBdr>
        <w:top w:val="none" w:sz="0" w:space="0" w:color="auto"/>
        <w:left w:val="none" w:sz="0" w:space="0" w:color="auto"/>
        <w:bottom w:val="none" w:sz="0" w:space="0" w:color="auto"/>
        <w:right w:val="none" w:sz="0" w:space="0" w:color="auto"/>
      </w:divBdr>
      <w:divsChild>
        <w:div w:id="1415710213">
          <w:marLeft w:val="0"/>
          <w:marRight w:val="0"/>
          <w:marTop w:val="0"/>
          <w:marBottom w:val="0"/>
          <w:divBdr>
            <w:top w:val="none" w:sz="0" w:space="0" w:color="auto"/>
            <w:left w:val="none" w:sz="0" w:space="0" w:color="auto"/>
            <w:bottom w:val="none" w:sz="0" w:space="0" w:color="auto"/>
            <w:right w:val="none" w:sz="0" w:space="0" w:color="auto"/>
          </w:divBdr>
          <w:divsChild>
            <w:div w:id="5733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1235">
      <w:bodyDiv w:val="1"/>
      <w:marLeft w:val="0"/>
      <w:marRight w:val="0"/>
      <w:marTop w:val="0"/>
      <w:marBottom w:val="0"/>
      <w:divBdr>
        <w:top w:val="none" w:sz="0" w:space="0" w:color="auto"/>
        <w:left w:val="none" w:sz="0" w:space="0" w:color="auto"/>
        <w:bottom w:val="none" w:sz="0" w:space="0" w:color="auto"/>
        <w:right w:val="none" w:sz="0" w:space="0" w:color="auto"/>
      </w:divBdr>
    </w:div>
    <w:div w:id="210942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isauskunft.vor.at/curre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a.Studzinska\AppData\Roaming\Microsoft\VORTemplates\Presseaussendun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DFB9-7933-4CC7-9BDD-59801BE6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Presseaussendung</Template>
  <TotalTime>0</TotalTime>
  <Pages>2</Pages>
  <Words>601</Words>
  <Characters>3789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Verkehrsverbund Ost-Region (VOR) GmbH</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Studzinska Kamila</dc:creator>
  <cp:lastModifiedBy>Studzinska Kamila</cp:lastModifiedBy>
  <cp:revision>36</cp:revision>
  <cp:lastPrinted>2025-05-22T11:04:00Z</cp:lastPrinted>
  <dcterms:created xsi:type="dcterms:W3CDTF">2025-05-30T08:42:00Z</dcterms:created>
  <dcterms:modified xsi:type="dcterms:W3CDTF">2025-05-30T12:59:00Z</dcterms:modified>
</cp:coreProperties>
</file>